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3A742A23"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7F00E3">
        <w:rPr>
          <w:rFonts w:ascii="Arial" w:hAnsi="Arial" w:cs="Arial"/>
          <w:b/>
          <w:sz w:val="24"/>
        </w:rPr>
        <w:t>1</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7F00E3" w:rsidRPr="007F00E3">
        <w:rPr>
          <w:rFonts w:ascii="Arial" w:hAnsi="Arial" w:cs="Arial"/>
          <w:b/>
          <w:sz w:val="24"/>
        </w:rPr>
        <w:t>R1-200377</w:t>
      </w:r>
      <w:r w:rsidR="0084328B">
        <w:rPr>
          <w:rFonts w:ascii="Arial" w:hAnsi="Arial" w:cs="Arial"/>
          <w:b/>
          <w:sz w:val="24"/>
        </w:rPr>
        <w:t>1</w:t>
      </w:r>
    </w:p>
    <w:p w14:paraId="2268593A" w14:textId="23869143" w:rsidR="00906EB9" w:rsidRPr="005F5BBA" w:rsidRDefault="0028713D" w:rsidP="004F072F">
      <w:pPr>
        <w:spacing w:after="0"/>
        <w:ind w:left="1988" w:hanging="1988"/>
        <w:rPr>
          <w:rFonts w:ascii="Arial" w:hAnsi="Arial" w:cs="Arial"/>
          <w:b/>
          <w:sz w:val="24"/>
        </w:rPr>
      </w:pPr>
      <w:r w:rsidRPr="004756F5">
        <w:rPr>
          <w:b/>
          <w:sz w:val="24"/>
        </w:rPr>
        <w:t>e-Meeting, May 25</w:t>
      </w:r>
      <w:r w:rsidRPr="004756F5">
        <w:rPr>
          <w:b/>
          <w:sz w:val="24"/>
          <w:vertAlign w:val="superscript"/>
        </w:rPr>
        <w:t>th</w:t>
      </w:r>
      <w:r>
        <w:rPr>
          <w:b/>
          <w:sz w:val="24"/>
        </w:rPr>
        <w:t xml:space="preserve"> </w:t>
      </w:r>
      <w:r w:rsidRPr="004756F5">
        <w:rPr>
          <w:b/>
          <w:sz w:val="24"/>
        </w:rPr>
        <w:t>– June 5</w:t>
      </w:r>
      <w:r w:rsidRPr="004756F5">
        <w:rPr>
          <w:b/>
          <w:sz w:val="24"/>
          <w:vertAlign w:val="superscript"/>
        </w:rPr>
        <w:t>th</w:t>
      </w:r>
      <w:r w:rsidRPr="004756F5">
        <w:rPr>
          <w:b/>
          <w:sz w:val="24"/>
        </w:rPr>
        <w:t>, 2020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428E4E11"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84328B" w:rsidRPr="0084328B">
        <w:rPr>
          <w:rFonts w:ascii="Arial" w:hAnsi="Arial" w:cs="Arial"/>
          <w:b/>
          <w:sz w:val="24"/>
        </w:rPr>
        <w:t>On PDCCH monitoring simplifications for RedCap NR U</w:t>
      </w:r>
      <w:r w:rsidR="0084328B">
        <w:rPr>
          <w:rFonts w:ascii="Arial" w:hAnsi="Arial" w:cs="Arial"/>
          <w:b/>
          <w:sz w:val="24"/>
        </w:rPr>
        <w:t>E</w:t>
      </w:r>
      <w:r w:rsidR="0084328B" w:rsidRPr="0084328B">
        <w:rPr>
          <w:rFonts w:ascii="Arial" w:hAnsi="Arial" w:cs="Arial"/>
          <w:b/>
          <w:sz w:val="24"/>
        </w:rPr>
        <w:t>s</w:t>
      </w:r>
    </w:p>
    <w:p w14:paraId="7ED02BDB" w14:textId="5309F5D0"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8.3.1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4476C573" w14:textId="183F4DB4" w:rsidR="006D1697" w:rsidRDefault="006D1697" w:rsidP="00EA006F">
      <w:r>
        <w:t xml:space="preserve">At RAN plenary meeting #86, a study item (SI) for the </w:t>
      </w:r>
      <w:r w:rsidRPr="00F77D77">
        <w:t>support of reduced capability</w:t>
      </w:r>
      <w:r w:rsidR="0084328B">
        <w:t xml:space="preserve"> (RedCap)</w:t>
      </w:r>
      <w:r w:rsidRPr="00F77D77">
        <w:t xml:space="preserve"> NR devices was agreed, the following objective</w:t>
      </w:r>
      <w:r w:rsidR="00680085">
        <w:t>s</w:t>
      </w:r>
      <w:r>
        <w:t xml:space="preserve"> </w:t>
      </w:r>
      <w:r w:rsidR="00680085">
        <w:t xml:space="preserve">related to </w:t>
      </w:r>
      <w:r w:rsidR="0084328B">
        <w:t>PDCCH monitoring</w:t>
      </w:r>
      <w:r w:rsidR="00680085">
        <w:t xml:space="preserve"> reduction were </w:t>
      </w:r>
      <w:r>
        <w:t>identified</w:t>
      </w:r>
      <w:r w:rsidRPr="00F77D77">
        <w:t xml:space="preserve"> </w:t>
      </w:r>
      <w:r>
        <w:t>for the SI</w:t>
      </w:r>
      <w:r w:rsidR="00656DA1">
        <w:fldChar w:fldCharType="begin"/>
      </w:r>
      <w:r w:rsidR="00656DA1">
        <w:instrText xml:space="preserve"> REF _Ref40451726 \r \h </w:instrText>
      </w:r>
      <w:r w:rsidR="00656DA1">
        <w:fldChar w:fldCharType="separate"/>
      </w:r>
      <w:r w:rsidR="00656DA1">
        <w:t>[1]</w:t>
      </w:r>
      <w:r w:rsidR="00656DA1">
        <w:fldChar w:fldCharType="end"/>
      </w:r>
      <w:r w:rsidR="00680085">
        <w:t>:</w:t>
      </w:r>
    </w:p>
    <w:tbl>
      <w:tblPr>
        <w:tblStyle w:val="TableGrid"/>
        <w:tblW w:w="0" w:type="auto"/>
        <w:tblLook w:val="04A0" w:firstRow="1" w:lastRow="0" w:firstColumn="1" w:lastColumn="0" w:noHBand="0" w:noVBand="1"/>
      </w:tblPr>
      <w:tblGrid>
        <w:gridCol w:w="9350"/>
      </w:tblGrid>
      <w:tr w:rsidR="0084328B" w14:paraId="54FFFA99" w14:textId="77777777" w:rsidTr="0084328B">
        <w:tc>
          <w:tcPr>
            <w:tcW w:w="9350" w:type="dxa"/>
          </w:tcPr>
          <w:p w14:paraId="4914D467" w14:textId="77777777" w:rsidR="0084328B" w:rsidRPr="0084328B" w:rsidRDefault="0084328B" w:rsidP="0084328B">
            <w:pPr>
              <w:ind w:right="-99"/>
              <w:rPr>
                <w:i/>
                <w:iCs/>
                <w:lang w:eastAsia="ja-JP"/>
              </w:rPr>
            </w:pPr>
            <w:r w:rsidRPr="0084328B">
              <w:rPr>
                <w:i/>
                <w:iCs/>
                <w:lang w:eastAsia="ja-JP"/>
              </w:rPr>
              <w:t xml:space="preserve">Study UE power saving and battery lifetime enhancement for reduced capability UEs in applicable use cases (e.g. delay tolerant) [RAN2, RAN1]: </w:t>
            </w:r>
          </w:p>
          <w:p w14:paraId="3F254AEF" w14:textId="3AD1D3DE" w:rsidR="0084328B" w:rsidRDefault="0084328B" w:rsidP="00355B65">
            <w:pPr>
              <w:pStyle w:val="ListParagraph"/>
              <w:numPr>
                <w:ilvl w:val="0"/>
                <w:numId w:val="12"/>
              </w:numPr>
              <w:autoSpaceDE/>
              <w:autoSpaceDN/>
              <w:adjustRightInd/>
              <w:snapToGrid/>
              <w:spacing w:after="160" w:line="256" w:lineRule="auto"/>
              <w:ind w:right="-99"/>
              <w:jc w:val="left"/>
              <w:rPr>
                <w:i/>
                <w:iCs/>
                <w:lang w:eastAsia="ja-JP"/>
              </w:rPr>
            </w:pPr>
            <w:r w:rsidRPr="0084328B">
              <w:rPr>
                <w:i/>
                <w:iCs/>
              </w:rPr>
              <w:t>Reduced PDCCH monitoring by smaller numbers of blind decodes and CCE limits [RAN1].</w:t>
            </w:r>
          </w:p>
          <w:p w14:paraId="1EB9C9C3" w14:textId="587DF6B6" w:rsidR="00600D51" w:rsidRPr="0084328B" w:rsidRDefault="00600D51" w:rsidP="00355B65">
            <w:pPr>
              <w:pStyle w:val="ListParagraph"/>
              <w:numPr>
                <w:ilvl w:val="0"/>
                <w:numId w:val="12"/>
              </w:numPr>
              <w:autoSpaceDE/>
              <w:autoSpaceDN/>
              <w:adjustRightInd/>
              <w:snapToGrid/>
              <w:spacing w:after="160" w:line="256" w:lineRule="auto"/>
              <w:ind w:right="-99"/>
              <w:jc w:val="left"/>
              <w:rPr>
                <w:i/>
                <w:iCs/>
                <w:lang w:eastAsia="ja-JP"/>
              </w:rPr>
            </w:pPr>
            <w:r w:rsidRPr="0084328B">
              <w:rPr>
                <w:i/>
                <w:iCs/>
              </w:rPr>
              <w:t>Extended DRX for RRC Inactive and/or Idle [RAN2]</w:t>
            </w:r>
          </w:p>
          <w:p w14:paraId="713D3AA7" w14:textId="789D29E7" w:rsidR="0084328B" w:rsidRPr="00600D51" w:rsidRDefault="00600D51" w:rsidP="00EA006F">
            <w:pPr>
              <w:pStyle w:val="ListParagraph"/>
              <w:numPr>
                <w:ilvl w:val="0"/>
                <w:numId w:val="12"/>
              </w:numPr>
              <w:autoSpaceDE/>
              <w:autoSpaceDN/>
              <w:adjustRightInd/>
              <w:snapToGrid/>
              <w:spacing w:after="160" w:line="256" w:lineRule="auto"/>
              <w:ind w:right="-99"/>
              <w:jc w:val="left"/>
              <w:rPr>
                <w:i/>
                <w:iCs/>
              </w:rPr>
            </w:pPr>
            <w:r w:rsidRPr="0084328B">
              <w:rPr>
                <w:i/>
                <w:iCs/>
              </w:rPr>
              <w:t>RRM relaxation for stationary devices [RAN2]</w:t>
            </w:r>
          </w:p>
        </w:tc>
      </w:tr>
    </w:tbl>
    <w:p w14:paraId="04623747" w14:textId="77777777" w:rsidR="0084328B" w:rsidRDefault="0084328B" w:rsidP="00EA006F">
      <w:pPr>
        <w:rPr>
          <w:rFonts w:eastAsia="Malgun Gothic"/>
          <w:lang w:eastAsia="ko-KR"/>
        </w:rPr>
      </w:pPr>
    </w:p>
    <w:p w14:paraId="2F3FE19B" w14:textId="0C539EF6" w:rsidR="00070570" w:rsidRDefault="00070570" w:rsidP="00070570">
      <w:pPr>
        <w:pStyle w:val="N1"/>
        <w:ind w:left="0"/>
        <w:jc w:val="both"/>
        <w:rPr>
          <w:rFonts w:ascii="Times New Roman" w:hAnsi="Times New Roman" w:cs="Times New Roman"/>
        </w:rPr>
      </w:pPr>
      <w:r w:rsidRPr="0090517F">
        <w:rPr>
          <w:rFonts w:ascii="Times New Roman" w:eastAsia="MS Mincho" w:hAnsi="Times New Roman" w:cs="Times New Roman"/>
        </w:rPr>
        <w:t xml:space="preserve">The </w:t>
      </w:r>
      <w:r w:rsidRPr="0090517F">
        <w:rPr>
          <w:rFonts w:ascii="Times New Roman" w:hAnsi="Times New Roman" w:cs="Times New Roman"/>
        </w:rPr>
        <w:t xml:space="preserve">following use cases have been prioritized by 3GPP RAN for upcoming Rel-17 studies on potential introduction of reduced capability (RedCap) NR UEs </w:t>
      </w:r>
      <w:r w:rsidR="00656DA1">
        <w:rPr>
          <w:rFonts w:ascii="Times New Roman" w:hAnsi="Times New Roman" w:cs="Times New Roman"/>
        </w:rPr>
        <w:fldChar w:fldCharType="begin"/>
      </w:r>
      <w:r w:rsidR="00656DA1">
        <w:rPr>
          <w:rFonts w:ascii="Times New Roman" w:hAnsi="Times New Roman" w:cs="Times New Roman"/>
        </w:rPr>
        <w:instrText xml:space="preserve"> REF _Ref40451726 \r \h </w:instrText>
      </w:r>
      <w:r w:rsidR="00656DA1">
        <w:rPr>
          <w:rFonts w:ascii="Times New Roman" w:hAnsi="Times New Roman" w:cs="Times New Roman"/>
        </w:rPr>
      </w:r>
      <w:r w:rsidR="00656DA1">
        <w:rPr>
          <w:rFonts w:ascii="Times New Roman" w:hAnsi="Times New Roman" w:cs="Times New Roman"/>
        </w:rPr>
        <w:fldChar w:fldCharType="separate"/>
      </w:r>
      <w:r w:rsidR="00656DA1">
        <w:rPr>
          <w:rFonts w:ascii="Times New Roman" w:hAnsi="Times New Roman" w:cs="Times New Roman"/>
        </w:rPr>
        <w:t>[1]</w:t>
      </w:r>
      <w:r w:rsidR="00656DA1">
        <w:rPr>
          <w:rFonts w:ascii="Times New Roman" w:hAnsi="Times New Roman" w:cs="Times New Roman"/>
        </w:rPr>
        <w:fldChar w:fldCharType="end"/>
      </w:r>
      <w:r w:rsidRPr="0090517F">
        <w:rPr>
          <w:rFonts w:ascii="Times New Roman" w:hAnsi="Times New Roman" w:cs="Times New Roman"/>
        </w:rPr>
        <w:t xml:space="preserve">: </w:t>
      </w:r>
    </w:p>
    <w:p w14:paraId="07321A48" w14:textId="2826F986" w:rsidR="00070570" w:rsidRDefault="00070570" w:rsidP="00070570">
      <w:pPr>
        <w:pStyle w:val="N1"/>
        <w:ind w:left="0"/>
        <w:jc w:val="both"/>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070570" w14:paraId="54F7C0E5" w14:textId="77777777" w:rsidTr="00070570">
        <w:tc>
          <w:tcPr>
            <w:tcW w:w="9350" w:type="dxa"/>
          </w:tcPr>
          <w:p w14:paraId="70C7C774" w14:textId="77777777" w:rsidR="00070570" w:rsidRPr="00070570" w:rsidRDefault="00070570" w:rsidP="00070570">
            <w:pPr>
              <w:pStyle w:val="N1"/>
              <w:ind w:left="0"/>
              <w:jc w:val="both"/>
              <w:rPr>
                <w:rFonts w:ascii="Times New Roman" w:hAnsi="Times New Roman" w:cs="Times New Roman"/>
                <w:i/>
                <w:iCs/>
              </w:rPr>
            </w:pPr>
            <w:r w:rsidRPr="0090517F">
              <w:rPr>
                <w:rFonts w:ascii="Times New Roman" w:hAnsi="Times New Roman" w:cs="Times New Roman"/>
                <w:b/>
                <w:bCs/>
                <w:i/>
                <w:iCs/>
              </w:rPr>
              <w:t>• Industrial wireless sensors:</w:t>
            </w:r>
            <w:r w:rsidRPr="0090517F">
              <w:rPr>
                <w:rFonts w:ascii="Times New Roman" w:hAnsi="Times New Roman" w:cs="Times New Roman"/>
                <w:i/>
                <w:iCs/>
              </w:rPr>
              <w:t xml:space="preserve"> Reference use cases and requirements are described in TR 22.832 and TS 22.104: Communication service availability is 99.99% and end-to-end latency </w:t>
            </w:r>
            <w:r w:rsidRPr="00070570">
              <w:rPr>
                <w:rFonts w:ascii="Times New Roman" w:hAnsi="Times New Roman" w:cs="Times New Roman"/>
                <w:i/>
                <w:iCs/>
              </w:rPr>
              <w:t>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3B3BAE05" w14:textId="77777777" w:rsidR="00070570" w:rsidRPr="00070570" w:rsidRDefault="00070570" w:rsidP="00070570">
            <w:pPr>
              <w:pStyle w:val="N1"/>
              <w:ind w:left="0"/>
              <w:jc w:val="both"/>
              <w:rPr>
                <w:rFonts w:ascii="Times New Roman" w:hAnsi="Times New Roman" w:cs="Times New Roman"/>
                <w:i/>
                <w:iCs/>
              </w:rPr>
            </w:pPr>
            <w:r w:rsidRPr="00070570">
              <w:rPr>
                <w:rFonts w:ascii="Times New Roman" w:hAnsi="Times New Roman" w:cs="Times New Roman"/>
                <w:b/>
                <w:bCs/>
                <w:i/>
                <w:iCs/>
              </w:rPr>
              <w:t>• Video Surveillance:</w:t>
            </w:r>
            <w:r w:rsidRPr="00070570">
              <w:rPr>
                <w:rFonts w:ascii="Times New Roman" w:hAnsi="Times New Roman" w:cs="Times New Roman"/>
                <w:i/>
                <w:iCs/>
              </w:rPr>
              <w:t xml:space="preserve"> As described in TS 22.804, reference economic video bitrate would be 2-4 Mbps, latency &lt; 500 ms, reliability 99%-99.9%. High-end video e.g. for farming would require 7.5-25 Mbps. It is noted that traffic pattern is dominated by UL transmissions.</w:t>
            </w:r>
          </w:p>
          <w:p w14:paraId="7B8FB979" w14:textId="77777777" w:rsidR="00070570" w:rsidRPr="0090517F" w:rsidRDefault="00070570" w:rsidP="00070570">
            <w:pPr>
              <w:pStyle w:val="N1"/>
              <w:ind w:left="0"/>
              <w:jc w:val="both"/>
              <w:rPr>
                <w:rFonts w:ascii="Times New Roman" w:hAnsi="Times New Roman" w:cs="Times New Roman"/>
                <w:i/>
                <w:iCs/>
              </w:rPr>
            </w:pPr>
            <w:r w:rsidRPr="00070570">
              <w:rPr>
                <w:rFonts w:ascii="Times New Roman" w:hAnsi="Times New Roman" w:cs="Times New Roman"/>
                <w:b/>
                <w:bCs/>
                <w:i/>
                <w:iCs/>
              </w:rPr>
              <w:t>• Wearables:</w:t>
            </w:r>
            <w:r w:rsidRPr="00070570">
              <w:rPr>
                <w:rFonts w:ascii="Times New Roman" w:hAnsi="Times New Roman" w:cs="Times New Roman"/>
                <w:i/>
                <w:iCs/>
              </w:rPr>
              <w:t xml:space="preserve"> Reference bitrate for smart wearable application can be 10-50 Mbps in DL and minimum 5 Mbps in UL and peak bit rate of the device higher, 150 Mbps</w:t>
            </w:r>
            <w:r w:rsidRPr="0090517F">
              <w:rPr>
                <w:rFonts w:ascii="Times New Roman" w:hAnsi="Times New Roman" w:cs="Times New Roman"/>
                <w:i/>
                <w:iCs/>
              </w:rPr>
              <w:t xml:space="preserve"> for downlink and 50 Mbps for uplink.  Battery of the device should last multiple days (up to 1-2 weeks).</w:t>
            </w:r>
          </w:p>
          <w:p w14:paraId="2A17251E" w14:textId="77777777" w:rsidR="00070570" w:rsidRDefault="00070570" w:rsidP="00070570">
            <w:pPr>
              <w:pStyle w:val="N1"/>
              <w:ind w:left="0"/>
              <w:jc w:val="both"/>
              <w:rPr>
                <w:rFonts w:ascii="Times New Roman" w:hAnsi="Times New Roman" w:cs="Times New Roman"/>
              </w:rPr>
            </w:pPr>
          </w:p>
        </w:tc>
      </w:tr>
    </w:tbl>
    <w:p w14:paraId="7A3F5A73" w14:textId="77777777" w:rsidR="00070570" w:rsidRPr="0090517F" w:rsidRDefault="00070570" w:rsidP="00070570">
      <w:pPr>
        <w:pStyle w:val="N1"/>
        <w:ind w:left="0"/>
        <w:jc w:val="both"/>
        <w:rPr>
          <w:rFonts w:ascii="Times New Roman" w:hAnsi="Times New Roman" w:cs="Times New Roman"/>
        </w:rPr>
      </w:pPr>
    </w:p>
    <w:p w14:paraId="5FB7F9D5" w14:textId="6C761515" w:rsidR="0081117C" w:rsidRDefault="00070570" w:rsidP="00EA006F">
      <w:pPr>
        <w:rPr>
          <w:rFonts w:eastAsia="Malgun Gothic"/>
          <w:lang w:eastAsia="ko-KR"/>
        </w:rPr>
      </w:pPr>
      <w:r>
        <w:rPr>
          <w:rFonts w:eastAsia="Malgun Gothic"/>
          <w:lang w:eastAsia="ko-KR"/>
        </w:rPr>
        <w:t xml:space="preserve">As can be seen from the use cases, bit rate and latency requirements are quite relaxed compared to NR eMBB devices. Moreover, </w:t>
      </w:r>
      <w:r>
        <w:t>the device cost and complexity, form factor</w:t>
      </w:r>
      <w:r w:rsidR="00813EA6">
        <w:t>, and power consumption</w:t>
      </w:r>
      <w:r>
        <w:t xml:space="preserve"> compared to eMBB and URLLC devices of Rel-15/Rel-16 </w:t>
      </w:r>
      <w:r w:rsidR="00643A65">
        <w:t xml:space="preserve">are </w:t>
      </w:r>
      <w:r>
        <w:t xml:space="preserve">expected to be much lower as well. </w:t>
      </w:r>
      <w:r w:rsidR="0069190C">
        <w:rPr>
          <w:rFonts w:eastAsia="Malgun Gothic"/>
          <w:lang w:eastAsia="ko-KR"/>
        </w:rPr>
        <w:t>To this end</w:t>
      </w:r>
      <w:r>
        <w:rPr>
          <w:rFonts w:eastAsia="Malgun Gothic"/>
          <w:lang w:eastAsia="ko-KR"/>
        </w:rPr>
        <w:t xml:space="preserve">, frequent PDCCH monitoring capability is </w:t>
      </w:r>
      <w:r w:rsidR="00813EA6">
        <w:rPr>
          <w:rFonts w:eastAsia="Malgun Gothic"/>
          <w:lang w:eastAsia="ko-KR"/>
        </w:rPr>
        <w:t xml:space="preserve">neither </w:t>
      </w:r>
      <w:r>
        <w:rPr>
          <w:rFonts w:eastAsia="Malgun Gothic"/>
          <w:lang w:eastAsia="ko-KR"/>
        </w:rPr>
        <w:t xml:space="preserve">necessary </w:t>
      </w:r>
      <w:r w:rsidR="00813EA6">
        <w:rPr>
          <w:rFonts w:eastAsia="Malgun Gothic"/>
          <w:lang w:eastAsia="ko-KR"/>
        </w:rPr>
        <w:t xml:space="preserve">nor desirable </w:t>
      </w:r>
      <w:r>
        <w:rPr>
          <w:rFonts w:eastAsia="Malgun Gothic"/>
          <w:lang w:eastAsia="ko-KR"/>
        </w:rPr>
        <w:t>for RedCap UEs</w:t>
      </w:r>
      <w:r w:rsidR="0069190C">
        <w:rPr>
          <w:rFonts w:eastAsia="Malgun Gothic"/>
          <w:lang w:eastAsia="ko-KR"/>
        </w:rPr>
        <w:t xml:space="preserve"> </w:t>
      </w:r>
      <w:r w:rsidR="0037509A">
        <w:rPr>
          <w:rFonts w:eastAsia="Malgun Gothic"/>
          <w:lang w:eastAsia="ko-KR"/>
        </w:rPr>
        <w:t xml:space="preserve">that </w:t>
      </w:r>
      <w:r w:rsidR="00CD1558">
        <w:rPr>
          <w:rFonts w:eastAsia="Malgun Gothic"/>
          <w:lang w:eastAsia="ko-KR"/>
        </w:rPr>
        <w:t xml:space="preserve">need to satisfy long battery lifetimes of up to few years. Thus, </w:t>
      </w:r>
      <w:r w:rsidR="0069190C">
        <w:rPr>
          <w:rFonts w:eastAsia="Malgun Gothic"/>
          <w:lang w:eastAsia="ko-KR"/>
        </w:rPr>
        <w:t xml:space="preserve">PDCCH monitoring requirements </w:t>
      </w:r>
      <w:r w:rsidR="009F6E41">
        <w:rPr>
          <w:rFonts w:eastAsia="Malgun Gothic"/>
          <w:lang w:eastAsia="ko-KR"/>
        </w:rPr>
        <w:t xml:space="preserve">should </w:t>
      </w:r>
      <w:r w:rsidR="0069190C">
        <w:rPr>
          <w:rFonts w:eastAsia="Malgun Gothic"/>
          <w:lang w:eastAsia="ko-KR"/>
        </w:rPr>
        <w:t>be significantly relaxed</w:t>
      </w:r>
      <w:r w:rsidR="00C2458F">
        <w:rPr>
          <w:rFonts w:eastAsia="Malgun Gothic"/>
          <w:lang w:eastAsia="ko-KR"/>
        </w:rPr>
        <w:t xml:space="preserve"> </w:t>
      </w:r>
      <w:r w:rsidR="0037509A">
        <w:rPr>
          <w:rFonts w:eastAsia="Malgun Gothic"/>
          <w:lang w:eastAsia="ko-KR"/>
        </w:rPr>
        <w:t>compared to Rel-15 features and requirements</w:t>
      </w:r>
      <w:r w:rsidR="0069190C">
        <w:rPr>
          <w:rFonts w:eastAsia="Malgun Gothic"/>
          <w:lang w:eastAsia="ko-KR"/>
        </w:rPr>
        <w:t xml:space="preserve">. </w:t>
      </w:r>
    </w:p>
    <w:p w14:paraId="3A323DA7" w14:textId="6A732DFC" w:rsidR="00860B72" w:rsidRPr="00EA006F"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w:t>
      </w:r>
      <w:r w:rsidR="0084328B">
        <w:rPr>
          <w:rFonts w:eastAsia="Malgun Gothic"/>
          <w:lang w:eastAsia="ko-KR"/>
        </w:rPr>
        <w:t xml:space="preserve">on </w:t>
      </w:r>
      <w:r w:rsidR="00DF215D">
        <w:rPr>
          <w:rFonts w:eastAsia="Malgun Gothic"/>
          <w:lang w:eastAsia="ko-KR"/>
        </w:rPr>
        <w:t>relaxed</w:t>
      </w:r>
      <w:r w:rsidR="0084328B">
        <w:rPr>
          <w:rFonts w:eastAsia="Malgun Gothic"/>
          <w:lang w:eastAsia="ko-KR"/>
        </w:rPr>
        <w:t xml:space="preserve"> PDCCH monitoring </w:t>
      </w:r>
      <w:r w:rsidR="00DF215D">
        <w:rPr>
          <w:rFonts w:eastAsia="Malgun Gothic"/>
          <w:lang w:eastAsia="ko-KR"/>
        </w:rPr>
        <w:t>requirements and simplified features related to PDCCH monitoring towards</w:t>
      </w:r>
      <w:r w:rsidR="0084328B">
        <w:rPr>
          <w:rFonts w:eastAsia="Malgun Gothic"/>
          <w:lang w:eastAsia="ko-KR"/>
        </w:rPr>
        <w:t xml:space="preserve"> complexity reduction of RedCap UEs</w:t>
      </w:r>
      <w:r w:rsidR="00F445B8">
        <w:rPr>
          <w:rFonts w:eastAsia="Malgun Gothic"/>
          <w:lang w:eastAsia="ko-KR"/>
        </w:rPr>
        <w:t>.</w:t>
      </w:r>
    </w:p>
    <w:p w14:paraId="7C30198B" w14:textId="47698CD2" w:rsidR="002940DE" w:rsidRDefault="00DF215D"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Relaxed PDCCH monitoring requirements</w:t>
      </w:r>
    </w:p>
    <w:p w14:paraId="73B483D2" w14:textId="4BF38D41" w:rsidR="00DF215D" w:rsidRDefault="00DF215D" w:rsidP="00DF215D">
      <w:pPr>
        <w:rPr>
          <w:rFonts w:eastAsia="Malgun Gothic"/>
          <w:lang w:eastAsia="ko-KR"/>
        </w:rPr>
      </w:pPr>
      <w:r w:rsidRPr="00DF215D">
        <w:rPr>
          <w:rFonts w:eastAsia="Malgun Gothic"/>
          <w:lang w:eastAsia="ko-KR"/>
        </w:rPr>
        <w:t>Per Rel-15 NR specifications, a UE needs to be able to support a minimum number of PDCCH blind decoding attempts (BDs) and be able to perform channel estimation for a minimum number of non-overlapped CCEs per slot and per serving cell, where the minimum values are as summarized in Tables 1 and 2</w:t>
      </w:r>
      <w:r w:rsidR="00BD4BC2">
        <w:rPr>
          <w:rFonts w:eastAsia="Malgun Gothic"/>
          <w:lang w:eastAsia="ko-KR"/>
        </w:rPr>
        <w:t>, respectively.</w:t>
      </w:r>
    </w:p>
    <w:p w14:paraId="6F31F890" w14:textId="513D9630" w:rsidR="00DF215D" w:rsidRPr="0021241A" w:rsidRDefault="00DF215D" w:rsidP="0021241A">
      <w:pPr>
        <w:jc w:val="center"/>
        <w:rPr>
          <w:rFonts w:eastAsia="Malgun Gothic"/>
          <w:b/>
          <w:bCs/>
          <w:lang w:eastAsia="ko-KR"/>
        </w:rPr>
      </w:pPr>
      <w:r w:rsidRPr="0021241A">
        <w:rPr>
          <w:rFonts w:eastAsia="Malgun Gothic"/>
          <w:b/>
          <w:bCs/>
          <w:lang w:eastAsia="ko-KR"/>
        </w:rPr>
        <w:lastRenderedPageBreak/>
        <w:t xml:space="preserve">Table 1: Maximum number of BDs per slot and per serving cell that may be configured for monitoring for 15 kHz, 30 kHz, 60 kHz, and 120 kHz </w:t>
      </w:r>
      <w:r w:rsidR="007B7993">
        <w:rPr>
          <w:rFonts w:eastAsia="Malgun Gothic"/>
          <w:b/>
          <w:bCs/>
          <w:lang w:eastAsia="ko-KR"/>
        </w:rPr>
        <w:fldChar w:fldCharType="begin"/>
      </w:r>
      <w:r w:rsidR="007B7993">
        <w:rPr>
          <w:rFonts w:eastAsia="Malgun Gothic"/>
          <w:b/>
          <w:bCs/>
          <w:lang w:eastAsia="ko-KR"/>
        </w:rPr>
        <w:instrText xml:space="preserve"> REF _Ref40451751 \r \h </w:instrText>
      </w:r>
      <w:r w:rsidR="007B7993">
        <w:rPr>
          <w:rFonts w:eastAsia="Malgun Gothic"/>
          <w:b/>
          <w:bCs/>
          <w:lang w:eastAsia="ko-KR"/>
        </w:rPr>
      </w:r>
      <w:r w:rsidR="007B7993">
        <w:rPr>
          <w:rFonts w:eastAsia="Malgun Gothic"/>
          <w:b/>
          <w:bCs/>
          <w:lang w:eastAsia="ko-KR"/>
        </w:rPr>
        <w:fldChar w:fldCharType="separate"/>
      </w:r>
      <w:r w:rsidR="007B7993">
        <w:rPr>
          <w:rFonts w:eastAsia="Malgun Gothic"/>
          <w:b/>
          <w:bCs/>
          <w:lang w:eastAsia="ko-KR"/>
        </w:rPr>
        <w:t>[2]</w:t>
      </w:r>
      <w:r w:rsidR="007B7993">
        <w:rPr>
          <w:rFonts w:eastAsia="Malgun Gothic"/>
          <w:b/>
          <w:bCs/>
          <w:lang w:eastAsia="ko-KR"/>
        </w:rPr>
        <w:fldChar w:fldCharType="end"/>
      </w:r>
    </w:p>
    <w:p w14:paraId="6B198E17" w14:textId="77777777" w:rsidR="00DF215D" w:rsidRPr="00DF215D" w:rsidRDefault="00DF215D" w:rsidP="00DF215D">
      <w:pPr>
        <w:rPr>
          <w:rFonts w:eastAsia="Malgun Gothic"/>
          <w:lang w:eastAsia="ko-KR"/>
        </w:rPr>
      </w:pPr>
      <w:r w:rsidRPr="00DF215D">
        <w:rPr>
          <w:rFonts w:eastAsia="Malgun Gothic"/>
          <w:noProof/>
          <w:lang w:eastAsia="ko-KR"/>
        </w:rPr>
        <w:drawing>
          <wp:inline distT="0" distB="0" distL="0" distR="0" wp14:anchorId="23A7FA51" wp14:editId="7E3AC0BA">
            <wp:extent cx="5943600" cy="8312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831215"/>
                    </a:xfrm>
                    <a:prstGeom prst="rect">
                      <a:avLst/>
                    </a:prstGeom>
                  </pic:spPr>
                </pic:pic>
              </a:graphicData>
            </a:graphic>
          </wp:inline>
        </w:drawing>
      </w:r>
    </w:p>
    <w:p w14:paraId="6BDA746F" w14:textId="77777777" w:rsidR="0085557C" w:rsidRDefault="0085557C" w:rsidP="0085557C">
      <w:pPr>
        <w:jc w:val="center"/>
        <w:rPr>
          <w:rFonts w:eastAsia="Malgun Gothic"/>
          <w:b/>
          <w:bCs/>
          <w:lang w:eastAsia="ko-KR"/>
        </w:rPr>
      </w:pPr>
    </w:p>
    <w:p w14:paraId="482D64DA" w14:textId="413D363A" w:rsidR="00DF215D" w:rsidRPr="0021241A" w:rsidRDefault="00DF215D" w:rsidP="0021241A">
      <w:pPr>
        <w:jc w:val="center"/>
        <w:rPr>
          <w:rFonts w:eastAsia="Malgun Gothic"/>
          <w:b/>
          <w:bCs/>
          <w:lang w:eastAsia="ko-KR"/>
        </w:rPr>
      </w:pPr>
      <w:r w:rsidRPr="0021241A">
        <w:rPr>
          <w:rFonts w:eastAsia="Malgun Gothic"/>
          <w:b/>
          <w:bCs/>
          <w:lang w:eastAsia="ko-KR"/>
        </w:rPr>
        <w:t xml:space="preserve">Table 2: Maximum number of non-overlapped CCEs per slot and per serving cell that may be configured for 15 kHz, 30 kHz, 60 kHz, and 120 kHz </w:t>
      </w:r>
      <w:r w:rsidR="007B7993">
        <w:rPr>
          <w:rFonts w:eastAsia="Malgun Gothic"/>
          <w:b/>
          <w:bCs/>
          <w:lang w:eastAsia="ko-KR"/>
        </w:rPr>
        <w:fldChar w:fldCharType="begin"/>
      </w:r>
      <w:r w:rsidR="007B7993">
        <w:rPr>
          <w:rFonts w:eastAsia="Malgun Gothic"/>
          <w:b/>
          <w:bCs/>
          <w:lang w:eastAsia="ko-KR"/>
        </w:rPr>
        <w:instrText xml:space="preserve"> REF _Ref40451751 \r \h </w:instrText>
      </w:r>
      <w:r w:rsidR="007B7993">
        <w:rPr>
          <w:rFonts w:eastAsia="Malgun Gothic"/>
          <w:b/>
          <w:bCs/>
          <w:lang w:eastAsia="ko-KR"/>
        </w:rPr>
      </w:r>
      <w:r w:rsidR="007B7993">
        <w:rPr>
          <w:rFonts w:eastAsia="Malgun Gothic"/>
          <w:b/>
          <w:bCs/>
          <w:lang w:eastAsia="ko-KR"/>
        </w:rPr>
        <w:fldChar w:fldCharType="separate"/>
      </w:r>
      <w:r w:rsidR="007B7993">
        <w:rPr>
          <w:rFonts w:eastAsia="Malgun Gothic"/>
          <w:b/>
          <w:bCs/>
          <w:lang w:eastAsia="ko-KR"/>
        </w:rPr>
        <w:t>[2]</w:t>
      </w:r>
      <w:r w:rsidR="007B7993">
        <w:rPr>
          <w:rFonts w:eastAsia="Malgun Gothic"/>
          <w:b/>
          <w:bCs/>
          <w:lang w:eastAsia="ko-KR"/>
        </w:rPr>
        <w:fldChar w:fldCharType="end"/>
      </w:r>
    </w:p>
    <w:p w14:paraId="1082D19F" w14:textId="77777777" w:rsidR="00DF215D" w:rsidRPr="00DF215D" w:rsidRDefault="00DF215D" w:rsidP="00DF215D">
      <w:pPr>
        <w:rPr>
          <w:rFonts w:eastAsia="Malgun Gothic"/>
          <w:lang w:eastAsia="ko-KR"/>
        </w:rPr>
      </w:pPr>
      <w:r w:rsidRPr="00DF215D">
        <w:rPr>
          <w:rFonts w:eastAsia="Malgun Gothic"/>
          <w:noProof/>
          <w:lang w:eastAsia="ko-KR"/>
        </w:rPr>
        <w:drawing>
          <wp:inline distT="0" distB="0" distL="0" distR="0" wp14:anchorId="2F008E77" wp14:editId="43663E7A">
            <wp:extent cx="5943600" cy="9290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929005"/>
                    </a:xfrm>
                    <a:prstGeom prst="rect">
                      <a:avLst/>
                    </a:prstGeom>
                  </pic:spPr>
                </pic:pic>
              </a:graphicData>
            </a:graphic>
          </wp:inline>
        </w:drawing>
      </w:r>
    </w:p>
    <w:p w14:paraId="714822C8" w14:textId="774E2BB0" w:rsidR="006D297E" w:rsidRDefault="00DF215D" w:rsidP="00DF215D">
      <w:pPr>
        <w:rPr>
          <w:rFonts w:eastAsia="Malgun Gothic"/>
          <w:lang w:eastAsia="ko-KR"/>
        </w:rPr>
      </w:pPr>
      <w:r w:rsidRPr="00DF215D">
        <w:rPr>
          <w:rFonts w:eastAsia="Malgun Gothic"/>
          <w:lang w:eastAsia="ko-KR"/>
        </w:rPr>
        <w:t xml:space="preserve">For RedCap NR UEs, the above minimum requirements may be relaxed to help limit the UE complexity </w:t>
      </w:r>
      <w:r w:rsidR="00045042">
        <w:rPr>
          <w:rFonts w:eastAsia="Malgun Gothic"/>
          <w:lang w:eastAsia="ko-KR"/>
        </w:rPr>
        <w:t xml:space="preserve">and reduce power consumption </w:t>
      </w:r>
      <w:r w:rsidRPr="00DF215D">
        <w:rPr>
          <w:rFonts w:eastAsia="Malgun Gothic"/>
          <w:lang w:eastAsia="ko-KR"/>
        </w:rPr>
        <w:t xml:space="preserve">for PDCCH monitoring. </w:t>
      </w:r>
      <w:r w:rsidR="00045042">
        <w:rPr>
          <w:rFonts w:eastAsia="Malgun Gothic"/>
          <w:lang w:eastAsia="ko-KR"/>
        </w:rPr>
        <w:t>That is</w:t>
      </w:r>
      <w:r w:rsidRPr="00DF215D">
        <w:rPr>
          <w:rFonts w:eastAsia="Malgun Gothic"/>
          <w:lang w:eastAsia="ko-KR"/>
        </w:rPr>
        <w:t>,</w:t>
      </w:r>
      <w:r w:rsidR="00BD4BC2">
        <w:rPr>
          <w:rFonts w:eastAsia="Malgun Gothic"/>
          <w:lang w:eastAsia="ko-KR"/>
        </w:rPr>
        <w:t xml:space="preserve"> </w:t>
      </w:r>
      <w:r w:rsidRPr="00DF215D">
        <w:rPr>
          <w:rFonts w:eastAsia="Malgun Gothic"/>
          <w:lang w:eastAsia="ko-KR"/>
        </w:rPr>
        <w:t xml:space="preserve">the maximum number of monitored PDCCH candidates per slot and per serving cell for a RedCap UE can be less than 44, 36, 22, 20 for SCS values of 15, 30, 60, 120 kHz respectively. </w:t>
      </w:r>
      <w:r w:rsidR="00045042">
        <w:rPr>
          <w:rFonts w:eastAsia="Malgun Gothic"/>
          <w:lang w:eastAsia="ko-KR"/>
        </w:rPr>
        <w:t>Also</w:t>
      </w:r>
      <w:r w:rsidRPr="00DF215D">
        <w:rPr>
          <w:rFonts w:eastAsia="Malgun Gothic"/>
          <w:lang w:eastAsia="ko-KR"/>
        </w:rPr>
        <w:t xml:space="preserve">, the maximum number of non-overlapped CCEs per slot and per serving cell for a RedCap UE can be less than 56, 56, 48, 32 for SCS values of 15, 30, 60, 120 kHz respectively. </w:t>
      </w:r>
      <w:r w:rsidR="00EE70DF">
        <w:rPr>
          <w:rFonts w:eastAsia="Malgun Gothic"/>
          <w:lang w:eastAsia="ko-KR"/>
        </w:rPr>
        <w:t xml:space="preserve">Such reduction in the minimum requirements for PDCCH monitoring further help in </w:t>
      </w:r>
      <w:r w:rsidR="00D61F09">
        <w:rPr>
          <w:rFonts w:eastAsia="Malgun Gothic"/>
          <w:lang w:eastAsia="ko-KR"/>
        </w:rPr>
        <w:t>relaxing the overall processing requirements for DL and UL shared channel processing</w:t>
      </w:r>
      <w:r w:rsidR="005652C9">
        <w:rPr>
          <w:rFonts w:eastAsia="Malgun Gothic"/>
          <w:lang w:eastAsia="ko-KR"/>
        </w:rPr>
        <w:t xml:space="preserve"> that are typically </w:t>
      </w:r>
      <w:r w:rsidR="00111CEF">
        <w:rPr>
          <w:rFonts w:eastAsia="Malgun Gothic"/>
          <w:lang w:eastAsia="ko-KR"/>
        </w:rPr>
        <w:t>associated with relatively tight timelines, at least for unicast scheduling</w:t>
      </w:r>
      <w:r w:rsidR="00D61F09">
        <w:rPr>
          <w:rFonts w:eastAsia="Malgun Gothic"/>
          <w:lang w:eastAsia="ko-KR"/>
        </w:rPr>
        <w:t xml:space="preserve">. </w:t>
      </w:r>
    </w:p>
    <w:p w14:paraId="6A327CB3" w14:textId="6F1B5A45" w:rsidR="00DF215D" w:rsidRDefault="001D0FB2" w:rsidP="00DF215D">
      <w:pPr>
        <w:rPr>
          <w:rFonts w:eastAsia="Malgun Gothic"/>
          <w:lang w:eastAsia="ko-KR"/>
        </w:rPr>
      </w:pPr>
      <w:r>
        <w:rPr>
          <w:rFonts w:eastAsia="Malgun Gothic"/>
          <w:lang w:eastAsia="ko-KR"/>
        </w:rPr>
        <w:t>However, i</w:t>
      </w:r>
      <w:r w:rsidR="00BE5B81">
        <w:rPr>
          <w:rFonts w:eastAsia="Malgun Gothic"/>
          <w:lang w:eastAsia="ko-KR"/>
        </w:rPr>
        <w:t xml:space="preserve">t should be </w:t>
      </w:r>
      <w:r w:rsidR="0064493A">
        <w:rPr>
          <w:rFonts w:eastAsia="Malgun Gothic"/>
          <w:lang w:eastAsia="ko-KR"/>
        </w:rPr>
        <w:t xml:space="preserve">also be </w:t>
      </w:r>
      <w:r w:rsidR="00BE5B81">
        <w:rPr>
          <w:rFonts w:eastAsia="Malgun Gothic"/>
          <w:lang w:eastAsia="ko-KR"/>
        </w:rPr>
        <w:t xml:space="preserve">noted that </w:t>
      </w:r>
      <w:r>
        <w:rPr>
          <w:rFonts w:eastAsia="Malgun Gothic"/>
          <w:lang w:eastAsia="ko-KR"/>
        </w:rPr>
        <w:t>such</w:t>
      </w:r>
      <w:r w:rsidR="00F3728D">
        <w:rPr>
          <w:rFonts w:eastAsia="Malgun Gothic"/>
          <w:lang w:eastAsia="ko-KR"/>
        </w:rPr>
        <w:t xml:space="preserve"> reduction </w:t>
      </w:r>
      <w:r>
        <w:rPr>
          <w:rFonts w:eastAsia="Malgun Gothic"/>
          <w:lang w:eastAsia="ko-KR"/>
        </w:rPr>
        <w:t xml:space="preserve">in the requirements </w:t>
      </w:r>
      <w:r w:rsidR="00F834D8">
        <w:rPr>
          <w:rFonts w:eastAsia="Malgun Gothic"/>
          <w:lang w:eastAsia="ko-KR"/>
        </w:rPr>
        <w:t xml:space="preserve">potentially increases the probability of user blocking </w:t>
      </w:r>
      <w:r w:rsidR="00DF6CA0">
        <w:rPr>
          <w:rFonts w:eastAsia="Malgun Gothic"/>
          <w:lang w:eastAsia="ko-KR"/>
        </w:rPr>
        <w:t xml:space="preserve">for PDCCH scheduling, and thus, means to reduce the PDCCH load itself for the gNB scheduler should be considered </w:t>
      </w:r>
      <w:r w:rsidR="00392DE3">
        <w:rPr>
          <w:rFonts w:eastAsia="Malgun Gothic"/>
          <w:lang w:eastAsia="ko-KR"/>
        </w:rPr>
        <w:t>to enable better trade-offs between efficien</w:t>
      </w:r>
      <w:r w:rsidR="006F7867">
        <w:rPr>
          <w:rFonts w:eastAsia="Malgun Gothic"/>
          <w:lang w:eastAsia="ko-KR"/>
        </w:rPr>
        <w:t>t scheduling</w:t>
      </w:r>
      <w:r w:rsidR="00392DE3">
        <w:rPr>
          <w:rFonts w:eastAsia="Malgun Gothic"/>
          <w:lang w:eastAsia="ko-KR"/>
        </w:rPr>
        <w:t xml:space="preserve"> and </w:t>
      </w:r>
      <w:r w:rsidR="006F7867">
        <w:rPr>
          <w:rFonts w:eastAsia="Malgun Gothic"/>
          <w:lang w:eastAsia="ko-KR"/>
        </w:rPr>
        <w:t>power consumption and complexity reduction at the UE.</w:t>
      </w:r>
    </w:p>
    <w:p w14:paraId="446DD8D9" w14:textId="77777777" w:rsidR="0064493A" w:rsidRDefault="0064493A" w:rsidP="0064493A">
      <w:pPr>
        <w:rPr>
          <w:rFonts w:eastAsia="Malgun Gothic"/>
          <w:b/>
          <w:bCs/>
          <w:lang w:eastAsia="ko-KR"/>
        </w:rPr>
      </w:pPr>
    </w:p>
    <w:p w14:paraId="10F29EC5" w14:textId="00E11A44" w:rsidR="0021241A" w:rsidRDefault="0064493A" w:rsidP="0064493A">
      <w:pPr>
        <w:rPr>
          <w:rFonts w:eastAsia="Malgun Gothic"/>
          <w:b/>
          <w:bCs/>
          <w:lang w:eastAsia="ko-KR"/>
        </w:rPr>
      </w:pPr>
      <w:r w:rsidRPr="0069190C">
        <w:rPr>
          <w:rFonts w:eastAsia="Malgun Gothic"/>
          <w:b/>
          <w:bCs/>
          <w:lang w:eastAsia="ko-KR"/>
        </w:rPr>
        <w:t>Proposal 1</w:t>
      </w:r>
    </w:p>
    <w:p w14:paraId="04D416F3" w14:textId="1E2BCA0A" w:rsidR="0064493A" w:rsidRPr="0021241A" w:rsidRDefault="0064493A" w:rsidP="0021241A">
      <w:pPr>
        <w:pStyle w:val="ListParagraph"/>
        <w:numPr>
          <w:ilvl w:val="0"/>
          <w:numId w:val="20"/>
        </w:numPr>
        <w:rPr>
          <w:rFonts w:eastAsia="Malgun Gothic"/>
          <w:i/>
          <w:iCs/>
          <w:lang w:eastAsia="ko-KR"/>
        </w:rPr>
      </w:pPr>
      <w:r w:rsidRPr="0021241A">
        <w:rPr>
          <w:rFonts w:eastAsia="Malgun Gothic"/>
          <w:i/>
          <w:iCs/>
          <w:lang w:eastAsia="ko-KR"/>
        </w:rPr>
        <w:t>Significant reduction on the maximum number of monitored PDCCH candidates and maximum number of non-overlapped CCEs per slot and per serving cell compared to Rel-15 requirements should be considered for RedCap UEs.</w:t>
      </w:r>
    </w:p>
    <w:p w14:paraId="52C90510" w14:textId="77777777" w:rsidR="0064493A" w:rsidRDefault="0064493A" w:rsidP="00DF215D">
      <w:pPr>
        <w:rPr>
          <w:rFonts w:eastAsia="Malgun Gothic"/>
          <w:lang w:eastAsia="ko-KR"/>
        </w:rPr>
      </w:pPr>
    </w:p>
    <w:p w14:paraId="4D5287DC" w14:textId="57EC07CD" w:rsidR="00BD4BC2" w:rsidRDefault="00BD4BC2" w:rsidP="00DF215D">
      <w:pPr>
        <w:rPr>
          <w:rFonts w:eastAsia="Malgun Gothic"/>
          <w:lang w:eastAsia="ko-KR"/>
        </w:rPr>
      </w:pPr>
      <w:r>
        <w:rPr>
          <w:rFonts w:eastAsia="Malgun Gothic"/>
          <w:lang w:eastAsia="ko-KR"/>
        </w:rPr>
        <w:t xml:space="preserve">Several factors identified below may facilitate </w:t>
      </w:r>
      <w:r w:rsidR="00D46706">
        <w:rPr>
          <w:rFonts w:eastAsia="Malgun Gothic"/>
          <w:lang w:eastAsia="ko-KR"/>
        </w:rPr>
        <w:t>relaxation</w:t>
      </w:r>
      <w:r>
        <w:rPr>
          <w:rFonts w:eastAsia="Malgun Gothic"/>
          <w:lang w:eastAsia="ko-KR"/>
        </w:rPr>
        <w:t xml:space="preserve"> on the</w:t>
      </w:r>
      <w:r w:rsidR="00D46706">
        <w:rPr>
          <w:rFonts w:eastAsia="Malgun Gothic"/>
          <w:lang w:eastAsia="ko-KR"/>
        </w:rPr>
        <w:t xml:space="preserve"> requirements of</w:t>
      </w:r>
      <w:r>
        <w:rPr>
          <w:rFonts w:eastAsia="Malgun Gothic"/>
          <w:lang w:eastAsia="ko-KR"/>
        </w:rPr>
        <w:t xml:space="preserve"> number BDs and non-overlapped CCEs per slot per serving cell for RedCap UEs:</w:t>
      </w:r>
    </w:p>
    <w:p w14:paraId="747786F3" w14:textId="3C1F8A91" w:rsidR="00D46706" w:rsidRDefault="00BD4BC2" w:rsidP="00BD4BC2">
      <w:pPr>
        <w:pStyle w:val="ListParagraph"/>
        <w:numPr>
          <w:ilvl w:val="0"/>
          <w:numId w:val="14"/>
        </w:numPr>
        <w:rPr>
          <w:rFonts w:eastAsia="Malgun Gothic"/>
          <w:lang w:eastAsia="ko-KR"/>
        </w:rPr>
      </w:pPr>
      <w:r w:rsidRPr="00BD4BC2">
        <w:rPr>
          <w:rFonts w:eastAsia="Malgun Gothic"/>
          <w:lang w:eastAsia="ko-KR"/>
        </w:rPr>
        <w:t>Simplified PDCCH monitoring can be adopted for RedCap UEs, such as only PDCCH monitoring Case 1-1 is supported</w:t>
      </w:r>
      <w:r w:rsidR="00B40285">
        <w:rPr>
          <w:rFonts w:eastAsia="Malgun Gothic"/>
          <w:lang w:eastAsia="ko-KR"/>
        </w:rPr>
        <w:t xml:space="preserve"> (i.e., PDCCH MOs are restricted to the first three symbols in a slot)</w:t>
      </w:r>
      <w:r w:rsidR="00D46706">
        <w:rPr>
          <w:rFonts w:eastAsia="Malgun Gothic"/>
          <w:lang w:eastAsia="ko-KR"/>
        </w:rPr>
        <w:t xml:space="preserve">, at least for monitoring scheduling DCI formats. </w:t>
      </w:r>
    </w:p>
    <w:p w14:paraId="29278F65" w14:textId="102999EB" w:rsidR="00D46706" w:rsidRPr="00D46706" w:rsidRDefault="00D46706" w:rsidP="00D46706">
      <w:pPr>
        <w:pStyle w:val="ListParagraph"/>
        <w:numPr>
          <w:ilvl w:val="0"/>
          <w:numId w:val="14"/>
        </w:numPr>
        <w:rPr>
          <w:rFonts w:eastAsia="Malgun Gothic"/>
          <w:lang w:eastAsia="ko-KR"/>
        </w:rPr>
      </w:pPr>
      <w:r w:rsidRPr="00D46706">
        <w:rPr>
          <w:rFonts w:eastAsia="Malgun Gothic"/>
          <w:lang w:eastAsia="ko-KR"/>
        </w:rPr>
        <w:t>Reduction in the max # of CORESETs and SS sets in a BWP</w:t>
      </w:r>
      <w:r>
        <w:rPr>
          <w:rFonts w:eastAsia="Malgun Gothic"/>
          <w:lang w:eastAsia="ko-KR"/>
        </w:rPr>
        <w:t xml:space="preserve">. In addition to CORESET #0, at most one additional CORESET maybe supported and number of SS sets </w:t>
      </w:r>
      <w:r w:rsidR="00E12689">
        <w:rPr>
          <w:rFonts w:eastAsia="Malgun Gothic"/>
          <w:lang w:eastAsia="ko-KR"/>
        </w:rPr>
        <w:t>per</w:t>
      </w:r>
      <w:r>
        <w:rPr>
          <w:rFonts w:eastAsia="Malgun Gothic"/>
          <w:lang w:eastAsia="ko-KR"/>
        </w:rPr>
        <w:t xml:space="preserve"> BWP</w:t>
      </w:r>
      <w:r w:rsidR="00E12689">
        <w:rPr>
          <w:rFonts w:eastAsia="Malgun Gothic"/>
          <w:lang w:eastAsia="ko-KR"/>
        </w:rPr>
        <w:t xml:space="preserve"> should be reduced from 10</w:t>
      </w:r>
      <w:r>
        <w:rPr>
          <w:rFonts w:eastAsia="Malgun Gothic"/>
          <w:lang w:eastAsia="ko-KR"/>
        </w:rPr>
        <w:t>.</w:t>
      </w:r>
    </w:p>
    <w:p w14:paraId="6DB4D800" w14:textId="5D741675" w:rsidR="00D46706" w:rsidRDefault="00D46706" w:rsidP="00D46706">
      <w:pPr>
        <w:pStyle w:val="ListParagraph"/>
        <w:numPr>
          <w:ilvl w:val="0"/>
          <w:numId w:val="14"/>
        </w:numPr>
        <w:rPr>
          <w:rFonts w:eastAsia="Malgun Gothic"/>
          <w:lang w:eastAsia="ko-KR"/>
        </w:rPr>
      </w:pPr>
      <w:r w:rsidRPr="00D46706">
        <w:rPr>
          <w:rFonts w:eastAsia="Malgun Gothic"/>
          <w:lang w:eastAsia="ko-KR"/>
        </w:rPr>
        <w:t>Reduction on the max # of DCI format sizes compared to the “3+1” rule of R15</w:t>
      </w:r>
      <w:r>
        <w:rPr>
          <w:rFonts w:eastAsia="Malgun Gothic"/>
          <w:lang w:eastAsia="ko-KR"/>
        </w:rPr>
        <w:t>.</w:t>
      </w:r>
      <w:r w:rsidRPr="00D46706">
        <w:rPr>
          <w:rFonts w:eastAsia="Malgun Gothic"/>
          <w:lang w:eastAsia="ko-KR"/>
        </w:rPr>
        <w:t xml:space="preserve"> For instance, “2+1”</w:t>
      </w:r>
      <w:r>
        <w:rPr>
          <w:rFonts w:eastAsia="Malgun Gothic"/>
          <w:lang w:eastAsia="ko-KR"/>
        </w:rPr>
        <w:t xml:space="preserve"> rule maybe considered assuming non-fall back DCI formats </w:t>
      </w:r>
      <w:r w:rsidR="0069110E">
        <w:rPr>
          <w:rFonts w:eastAsia="Malgun Gothic"/>
          <w:lang w:eastAsia="ko-KR"/>
        </w:rPr>
        <w:t xml:space="preserve">are </w:t>
      </w:r>
      <w:r>
        <w:rPr>
          <w:rFonts w:eastAsia="Malgun Gothic"/>
          <w:lang w:eastAsia="ko-KR"/>
        </w:rPr>
        <w:t>size align</w:t>
      </w:r>
      <w:r w:rsidR="0069110E">
        <w:rPr>
          <w:rFonts w:eastAsia="Malgun Gothic"/>
          <w:lang w:eastAsia="ko-KR"/>
        </w:rPr>
        <w:t>ed</w:t>
      </w:r>
      <w:r>
        <w:rPr>
          <w:rFonts w:eastAsia="Malgun Gothic"/>
          <w:lang w:eastAsia="ko-KR"/>
        </w:rPr>
        <w:t>.</w:t>
      </w:r>
    </w:p>
    <w:p w14:paraId="27AA66B8" w14:textId="27028EFC" w:rsidR="00BD4BC2" w:rsidRPr="0021241A" w:rsidRDefault="008A4572" w:rsidP="00B92320">
      <w:pPr>
        <w:pStyle w:val="ListParagraph"/>
        <w:numPr>
          <w:ilvl w:val="0"/>
          <w:numId w:val="14"/>
        </w:numPr>
        <w:rPr>
          <w:rFonts w:eastAsia="Malgun Gothic"/>
          <w:lang w:eastAsia="ko-KR"/>
        </w:rPr>
      </w:pPr>
      <w:r>
        <w:rPr>
          <w:rFonts w:eastAsia="MS Mincho"/>
        </w:rPr>
        <w:t>Avoiding partial</w:t>
      </w:r>
      <w:r w:rsidR="00D46706" w:rsidRPr="00D46706">
        <w:rPr>
          <w:rFonts w:eastAsia="MS Mincho"/>
        </w:rPr>
        <w:t xml:space="preserve"> overlapping monitoring occasions belonging to different CORESETs. </w:t>
      </w:r>
    </w:p>
    <w:p w14:paraId="54DAE2C9" w14:textId="18B43D8E" w:rsidR="00D6140D" w:rsidRPr="0021241A" w:rsidRDefault="00D6140D" w:rsidP="00D6140D">
      <w:pPr>
        <w:pStyle w:val="ListParagraph"/>
        <w:numPr>
          <w:ilvl w:val="0"/>
          <w:numId w:val="14"/>
        </w:numPr>
        <w:rPr>
          <w:rFonts w:eastAsia="Malgun Gothic"/>
          <w:lang w:eastAsia="ko-KR"/>
        </w:rPr>
      </w:pPr>
      <w:r w:rsidRPr="00D46706">
        <w:rPr>
          <w:rFonts w:eastAsia="Malgun Gothic"/>
          <w:lang w:eastAsia="ko-KR"/>
        </w:rPr>
        <w:lastRenderedPageBreak/>
        <w:t>Reduction in max # of DL and UL scheduling DCI formats a UE may expect to need to store (i.e., max # PDSCHs/PUSCHs not yet recd./transmitted</w:t>
      </w:r>
      <w:r>
        <w:rPr>
          <w:rFonts w:eastAsia="Malgun Gothic"/>
          <w:lang w:eastAsia="ko-KR"/>
        </w:rPr>
        <w:t>. Rel-15 supports value of 16 which can be reduced for RedCap UEs.</w:t>
      </w:r>
    </w:p>
    <w:p w14:paraId="2FBCA52C" w14:textId="77777777" w:rsidR="0064493A" w:rsidRDefault="0064493A" w:rsidP="0064493A">
      <w:pPr>
        <w:rPr>
          <w:rFonts w:eastAsia="Malgun Gothic"/>
          <w:b/>
          <w:bCs/>
          <w:lang w:eastAsia="ko-KR"/>
        </w:rPr>
      </w:pPr>
    </w:p>
    <w:p w14:paraId="24BE9650" w14:textId="77777777" w:rsidR="0021241A" w:rsidRDefault="0064493A" w:rsidP="0064493A">
      <w:pPr>
        <w:rPr>
          <w:rFonts w:eastAsia="Malgun Gothic"/>
          <w:b/>
          <w:bCs/>
          <w:lang w:eastAsia="ko-KR"/>
        </w:rPr>
      </w:pPr>
      <w:r>
        <w:rPr>
          <w:rFonts w:eastAsia="Malgun Gothic"/>
          <w:b/>
          <w:bCs/>
          <w:lang w:eastAsia="ko-KR"/>
        </w:rPr>
        <w:t>Proposal 2</w:t>
      </w:r>
    </w:p>
    <w:p w14:paraId="25A9B392" w14:textId="77777777" w:rsidR="0021241A" w:rsidRDefault="0064493A" w:rsidP="0021241A">
      <w:pPr>
        <w:pStyle w:val="ListParagraph"/>
        <w:numPr>
          <w:ilvl w:val="0"/>
          <w:numId w:val="19"/>
        </w:numPr>
        <w:rPr>
          <w:rFonts w:eastAsia="Malgun Gothic"/>
          <w:i/>
          <w:iCs/>
          <w:lang w:eastAsia="ko-KR"/>
        </w:rPr>
      </w:pPr>
      <w:r w:rsidRPr="0021241A">
        <w:rPr>
          <w:rFonts w:eastAsia="Malgun Gothic"/>
          <w:i/>
          <w:iCs/>
          <w:lang w:eastAsia="ko-KR"/>
        </w:rPr>
        <w:t>RAN1 to further study simplifications/reduction/constraints related to the following features:</w:t>
      </w:r>
    </w:p>
    <w:p w14:paraId="7B25C8B2" w14:textId="77777777" w:rsidR="0021241A" w:rsidRDefault="0064493A" w:rsidP="0021241A">
      <w:pPr>
        <w:pStyle w:val="ListParagraph"/>
        <w:numPr>
          <w:ilvl w:val="1"/>
          <w:numId w:val="19"/>
        </w:numPr>
        <w:rPr>
          <w:rFonts w:eastAsia="Malgun Gothic"/>
          <w:i/>
          <w:iCs/>
          <w:lang w:eastAsia="ko-KR"/>
        </w:rPr>
      </w:pPr>
      <w:r w:rsidRPr="0021241A">
        <w:rPr>
          <w:rFonts w:eastAsia="Malgun Gothic"/>
          <w:i/>
          <w:iCs/>
          <w:lang w:eastAsia="ko-KR"/>
        </w:rPr>
        <w:t>Locations of PDCCH monitoring occasions in a slot</w:t>
      </w:r>
      <w:r w:rsidR="00656DA1" w:rsidRPr="0021241A">
        <w:rPr>
          <w:rFonts w:eastAsia="Malgun Gothic"/>
          <w:i/>
          <w:iCs/>
          <w:lang w:eastAsia="ko-KR"/>
        </w:rPr>
        <w:t>.</w:t>
      </w:r>
    </w:p>
    <w:p w14:paraId="5BF7C821" w14:textId="77777777" w:rsidR="0021241A" w:rsidRDefault="0064493A" w:rsidP="0021241A">
      <w:pPr>
        <w:pStyle w:val="ListParagraph"/>
        <w:numPr>
          <w:ilvl w:val="1"/>
          <w:numId w:val="19"/>
        </w:numPr>
        <w:rPr>
          <w:rFonts w:eastAsia="Malgun Gothic"/>
          <w:i/>
          <w:iCs/>
          <w:lang w:eastAsia="ko-KR"/>
        </w:rPr>
      </w:pPr>
      <w:r w:rsidRPr="0021241A">
        <w:rPr>
          <w:rFonts w:eastAsia="Malgun Gothic"/>
          <w:i/>
          <w:iCs/>
          <w:lang w:eastAsia="ko-KR"/>
        </w:rPr>
        <w:t>Maximum number of CORESETs and SS sets in a BWP</w:t>
      </w:r>
      <w:r w:rsidR="00656DA1" w:rsidRPr="0021241A">
        <w:rPr>
          <w:rFonts w:eastAsia="Malgun Gothic"/>
          <w:i/>
          <w:iCs/>
          <w:lang w:eastAsia="ko-KR"/>
        </w:rPr>
        <w:t>.</w:t>
      </w:r>
    </w:p>
    <w:p w14:paraId="22F7FDA6" w14:textId="77777777" w:rsidR="0021241A" w:rsidRDefault="0064493A" w:rsidP="0021241A">
      <w:pPr>
        <w:pStyle w:val="ListParagraph"/>
        <w:numPr>
          <w:ilvl w:val="1"/>
          <w:numId w:val="19"/>
        </w:numPr>
        <w:rPr>
          <w:rFonts w:eastAsia="Malgun Gothic"/>
          <w:i/>
          <w:iCs/>
          <w:lang w:eastAsia="ko-KR"/>
        </w:rPr>
      </w:pPr>
      <w:r w:rsidRPr="0021241A">
        <w:rPr>
          <w:rFonts w:eastAsia="Malgun Gothic"/>
          <w:i/>
          <w:iCs/>
          <w:lang w:eastAsia="ko-KR"/>
        </w:rPr>
        <w:t>Maximum number of DCI format sizes compared to the “3+1” rule of Rel-15</w:t>
      </w:r>
      <w:r w:rsidR="00656DA1" w:rsidRPr="0021241A">
        <w:rPr>
          <w:rFonts w:eastAsia="Malgun Gothic"/>
          <w:i/>
          <w:iCs/>
          <w:lang w:eastAsia="ko-KR"/>
        </w:rPr>
        <w:t>.</w:t>
      </w:r>
    </w:p>
    <w:p w14:paraId="099B1971" w14:textId="77777777" w:rsidR="0021241A" w:rsidRDefault="0064493A" w:rsidP="0021241A">
      <w:pPr>
        <w:pStyle w:val="ListParagraph"/>
        <w:numPr>
          <w:ilvl w:val="1"/>
          <w:numId w:val="19"/>
        </w:numPr>
        <w:rPr>
          <w:rFonts w:eastAsia="Malgun Gothic"/>
          <w:i/>
          <w:iCs/>
          <w:lang w:eastAsia="ko-KR"/>
        </w:rPr>
      </w:pPr>
      <w:r w:rsidRPr="0021241A">
        <w:rPr>
          <w:rFonts w:eastAsia="MS Mincho"/>
          <w:i/>
          <w:iCs/>
        </w:rPr>
        <w:t>Overlapping monitoring occasions</w:t>
      </w:r>
      <w:r w:rsidR="00656DA1" w:rsidRPr="0021241A">
        <w:rPr>
          <w:rFonts w:eastAsia="MS Mincho"/>
          <w:i/>
          <w:iCs/>
        </w:rPr>
        <w:t>.</w:t>
      </w:r>
      <w:r w:rsidRPr="0021241A">
        <w:rPr>
          <w:rFonts w:eastAsia="Malgun Gothic"/>
          <w:i/>
          <w:iCs/>
          <w:lang w:eastAsia="ko-KR"/>
        </w:rPr>
        <w:t xml:space="preserve"> </w:t>
      </w:r>
    </w:p>
    <w:p w14:paraId="3D1F15AB" w14:textId="01D5FEC2" w:rsidR="0064493A" w:rsidRPr="0021241A" w:rsidRDefault="0064493A" w:rsidP="0021241A">
      <w:pPr>
        <w:pStyle w:val="ListParagraph"/>
        <w:numPr>
          <w:ilvl w:val="1"/>
          <w:numId w:val="19"/>
        </w:numPr>
        <w:rPr>
          <w:rFonts w:eastAsia="Malgun Gothic"/>
          <w:i/>
          <w:iCs/>
          <w:lang w:eastAsia="ko-KR"/>
        </w:rPr>
      </w:pPr>
      <w:r w:rsidRPr="0021241A">
        <w:rPr>
          <w:rFonts w:eastAsia="Malgun Gothic"/>
          <w:i/>
          <w:iCs/>
          <w:lang w:eastAsia="ko-KR"/>
        </w:rPr>
        <w:t>Maximum number of DL and UL scheduling DCI formats that a UE may be expected to store.</w:t>
      </w:r>
    </w:p>
    <w:p w14:paraId="2C431637" w14:textId="77777777" w:rsidR="0064493A" w:rsidRDefault="0064493A" w:rsidP="008A4572">
      <w:pPr>
        <w:rPr>
          <w:rFonts w:eastAsia="Malgun Gothic"/>
          <w:lang w:eastAsia="ko-KR"/>
        </w:rPr>
      </w:pPr>
    </w:p>
    <w:p w14:paraId="65D8EF1D" w14:textId="705FF4E6" w:rsidR="005D57E8" w:rsidRDefault="008A4572" w:rsidP="008A4572">
      <w:pPr>
        <w:rPr>
          <w:rFonts w:eastAsia="Malgun Gothic"/>
          <w:lang w:eastAsia="ko-KR"/>
        </w:rPr>
      </w:pPr>
      <w:r>
        <w:rPr>
          <w:rFonts w:eastAsia="Malgun Gothic"/>
          <w:lang w:eastAsia="ko-KR"/>
        </w:rPr>
        <w:t>In addition, towards enabling an efficient trade-off between scheduling flexibility and efficiency (that in turn define the impact on system performance from the introduction of RedCap UEs)</w:t>
      </w:r>
      <w:r w:rsidR="009F3CBD">
        <w:rPr>
          <w:rFonts w:eastAsia="Malgun Gothic"/>
          <w:lang w:eastAsia="ko-KR"/>
        </w:rPr>
        <w:t xml:space="preserve"> and </w:t>
      </w:r>
      <w:r w:rsidR="005230AE">
        <w:rPr>
          <w:rFonts w:eastAsia="Malgun Gothic"/>
          <w:lang w:eastAsia="ko-KR"/>
        </w:rPr>
        <w:t>UE power consumption and complexity</w:t>
      </w:r>
      <w:r w:rsidR="004C4200">
        <w:rPr>
          <w:rFonts w:eastAsia="Malgun Gothic"/>
          <w:lang w:eastAsia="ko-KR"/>
        </w:rPr>
        <w:t xml:space="preserve">, </w:t>
      </w:r>
      <w:r w:rsidR="006D50D2">
        <w:rPr>
          <w:rFonts w:eastAsia="Malgun Gothic"/>
          <w:lang w:eastAsia="ko-KR"/>
        </w:rPr>
        <w:t>options that enable operation with</w:t>
      </w:r>
      <w:r w:rsidR="004C4200">
        <w:rPr>
          <w:rFonts w:eastAsia="Malgun Gothic"/>
          <w:lang w:eastAsia="ko-KR"/>
        </w:rPr>
        <w:t xml:space="preserve"> reduced PDCCH load in a cell</w:t>
      </w:r>
      <w:r w:rsidR="006D50D2">
        <w:rPr>
          <w:rFonts w:eastAsia="Malgun Gothic"/>
          <w:lang w:eastAsia="ko-KR"/>
        </w:rPr>
        <w:t xml:space="preserve"> should be pursued. For instance, the following </w:t>
      </w:r>
      <w:r w:rsidR="005D57E8">
        <w:rPr>
          <w:rFonts w:eastAsia="Malgun Gothic"/>
          <w:lang w:eastAsia="ko-KR"/>
        </w:rPr>
        <w:t>should be considered further towards reducing PDCCH loading</w:t>
      </w:r>
      <w:r w:rsidR="00203A34">
        <w:rPr>
          <w:rFonts w:eastAsia="Malgun Gothic"/>
          <w:lang w:eastAsia="ko-KR"/>
        </w:rPr>
        <w:t xml:space="preserve"> and associated probability of user blocking</w:t>
      </w:r>
      <w:r w:rsidR="005D57E8">
        <w:rPr>
          <w:rFonts w:eastAsia="Malgun Gothic"/>
          <w:lang w:eastAsia="ko-KR"/>
        </w:rPr>
        <w:t xml:space="preserve"> in the cell:</w:t>
      </w:r>
    </w:p>
    <w:p w14:paraId="10B8BB38" w14:textId="75E1A54D" w:rsidR="00F322C0" w:rsidRPr="0021241A" w:rsidRDefault="008F09E5" w:rsidP="00203A34">
      <w:pPr>
        <w:pStyle w:val="ListParagraph"/>
        <w:numPr>
          <w:ilvl w:val="0"/>
          <w:numId w:val="17"/>
        </w:numPr>
        <w:rPr>
          <w:rFonts w:eastAsia="Malgun Gothic"/>
          <w:lang w:eastAsia="ko-KR"/>
        </w:rPr>
      </w:pPr>
      <w:r>
        <w:rPr>
          <w:rFonts w:eastAsia="MS Mincho"/>
        </w:rPr>
        <w:t>Enabling c</w:t>
      </w:r>
      <w:r w:rsidR="00F322C0">
        <w:rPr>
          <w:rFonts w:eastAsia="MS Mincho"/>
        </w:rPr>
        <w:t>onfigur</w:t>
      </w:r>
      <w:r>
        <w:rPr>
          <w:rFonts w:eastAsia="MS Mincho"/>
        </w:rPr>
        <w:t>ation of</w:t>
      </w:r>
      <w:r w:rsidR="00F322C0">
        <w:rPr>
          <w:rFonts w:eastAsia="MS Mincho"/>
        </w:rPr>
        <w:t xml:space="preserve"> DCI formats with compact size, smaller than formats 0_0/1_0 for a given DL/UL BWP.</w:t>
      </w:r>
    </w:p>
    <w:p w14:paraId="7C51630E" w14:textId="0D5E58D7" w:rsidR="000E7348" w:rsidRPr="008F09E5" w:rsidRDefault="008F09E5" w:rsidP="0021241A">
      <w:pPr>
        <w:pStyle w:val="ListParagraph"/>
        <w:numPr>
          <w:ilvl w:val="0"/>
          <w:numId w:val="17"/>
        </w:numPr>
        <w:rPr>
          <w:rFonts w:eastAsia="Malgun Gothic"/>
          <w:lang w:eastAsia="ko-KR"/>
        </w:rPr>
      </w:pPr>
      <w:r>
        <w:rPr>
          <w:rFonts w:eastAsia="MS Mincho"/>
        </w:rPr>
        <w:t xml:space="preserve">Enabling scheduling </w:t>
      </w:r>
      <w:r w:rsidR="00A52C09">
        <w:rPr>
          <w:rFonts w:eastAsia="MS Mincho"/>
        </w:rPr>
        <w:t>of multiple PDSCHs/PUSCHs with different TBs using a single DCI format.</w:t>
      </w:r>
    </w:p>
    <w:p w14:paraId="01766A94" w14:textId="77777777" w:rsidR="00705890" w:rsidRDefault="001506A7" w:rsidP="00DF215D">
      <w:pPr>
        <w:rPr>
          <w:rFonts w:eastAsia="Malgun Gothic"/>
          <w:lang w:eastAsia="ko-KR"/>
        </w:rPr>
      </w:pPr>
      <w:r>
        <w:rPr>
          <w:rFonts w:eastAsia="Malgun Gothic"/>
          <w:lang w:eastAsia="ko-KR"/>
        </w:rPr>
        <w:t xml:space="preserve">For the first </w:t>
      </w:r>
      <w:r w:rsidR="00F70201">
        <w:rPr>
          <w:rFonts w:eastAsia="Malgun Gothic"/>
          <w:lang w:eastAsia="ko-KR"/>
        </w:rPr>
        <w:t>feature, DCI formats 0_2/1_2 may be considered as a starting point</w:t>
      </w:r>
      <w:r w:rsidR="00747619">
        <w:rPr>
          <w:rFonts w:eastAsia="Malgun Gothic"/>
          <w:lang w:eastAsia="ko-KR"/>
        </w:rPr>
        <w:t xml:space="preserve"> for further adaptation</w:t>
      </w:r>
      <w:r w:rsidR="00F70201">
        <w:rPr>
          <w:rFonts w:eastAsia="Malgun Gothic"/>
          <w:lang w:eastAsia="ko-KR"/>
        </w:rPr>
        <w:t>.</w:t>
      </w:r>
      <w:r w:rsidR="00747619">
        <w:rPr>
          <w:rFonts w:eastAsia="Malgun Gothic"/>
          <w:lang w:eastAsia="ko-KR"/>
        </w:rPr>
        <w:t xml:space="preserve"> </w:t>
      </w:r>
    </w:p>
    <w:p w14:paraId="2836C63D" w14:textId="1CA5587C" w:rsidR="00DF7F79" w:rsidRDefault="00705890" w:rsidP="00DF215D">
      <w:pPr>
        <w:rPr>
          <w:rFonts w:eastAsia="Malgun Gothic"/>
          <w:lang w:eastAsia="ko-KR"/>
        </w:rPr>
      </w:pPr>
      <w:r>
        <w:rPr>
          <w:rFonts w:eastAsia="Malgun Gothic"/>
          <w:lang w:eastAsia="ko-KR"/>
        </w:rPr>
        <w:t xml:space="preserve">The second feature is </w:t>
      </w:r>
      <w:r w:rsidR="007F2344">
        <w:rPr>
          <w:rFonts w:eastAsia="Malgun Gothic"/>
          <w:lang w:eastAsia="ko-KR"/>
        </w:rPr>
        <w:t xml:space="preserve">especially </w:t>
      </w:r>
      <w:r>
        <w:rPr>
          <w:rFonts w:eastAsia="Malgun Gothic"/>
          <w:lang w:eastAsia="ko-KR"/>
        </w:rPr>
        <w:t xml:space="preserve">motivated </w:t>
      </w:r>
      <w:r w:rsidR="00FF224B">
        <w:rPr>
          <w:rFonts w:eastAsia="Malgun Gothic"/>
          <w:lang w:eastAsia="ko-KR"/>
        </w:rPr>
        <w:t>for</w:t>
      </w:r>
      <w:r>
        <w:rPr>
          <w:rFonts w:eastAsia="Malgun Gothic"/>
          <w:lang w:eastAsia="ko-KR"/>
        </w:rPr>
        <w:t xml:space="preserve"> </w:t>
      </w:r>
      <w:r w:rsidR="00FF224B">
        <w:rPr>
          <w:rFonts w:eastAsia="Malgun Gothic"/>
          <w:lang w:eastAsia="ko-KR"/>
        </w:rPr>
        <w:t>use cases involving</w:t>
      </w:r>
      <w:r>
        <w:rPr>
          <w:rFonts w:eastAsia="Malgun Gothic"/>
          <w:lang w:eastAsia="ko-KR"/>
        </w:rPr>
        <w:t xml:space="preserve"> </w:t>
      </w:r>
      <w:r w:rsidR="005A20EA">
        <w:rPr>
          <w:rFonts w:eastAsia="Malgun Gothic"/>
          <w:lang w:eastAsia="ko-KR"/>
        </w:rPr>
        <w:t xml:space="preserve">bursty traffic profiles, wherein </w:t>
      </w:r>
      <w:r w:rsidR="00FF224B">
        <w:rPr>
          <w:rFonts w:eastAsia="Malgun Gothic"/>
          <w:lang w:eastAsia="ko-KR"/>
        </w:rPr>
        <w:t>the</w:t>
      </w:r>
      <w:r w:rsidR="005A20EA">
        <w:rPr>
          <w:rFonts w:eastAsia="Malgun Gothic"/>
          <w:lang w:eastAsia="ko-KR"/>
        </w:rPr>
        <w:t xml:space="preserve"> UE may be scheduled for </w:t>
      </w:r>
      <w:r w:rsidR="004A7C0E">
        <w:rPr>
          <w:rFonts w:eastAsia="Malgun Gothic"/>
          <w:lang w:eastAsia="ko-KR"/>
        </w:rPr>
        <w:t xml:space="preserve">multiple </w:t>
      </w:r>
      <w:r w:rsidR="005A20EA">
        <w:rPr>
          <w:rFonts w:eastAsia="Malgun Gothic"/>
          <w:lang w:eastAsia="ko-KR"/>
        </w:rPr>
        <w:t xml:space="preserve">PDSCHs/PUSCHs </w:t>
      </w:r>
      <w:r w:rsidR="00C63111">
        <w:rPr>
          <w:rFonts w:eastAsia="Malgun Gothic"/>
          <w:lang w:eastAsia="ko-KR"/>
        </w:rPr>
        <w:t xml:space="preserve">in succession </w:t>
      </w:r>
      <w:r w:rsidR="00DF7F79">
        <w:rPr>
          <w:rFonts w:eastAsia="Malgun Gothic"/>
          <w:lang w:eastAsia="ko-KR"/>
        </w:rPr>
        <w:t>over</w:t>
      </w:r>
      <w:r w:rsidR="00C63111">
        <w:rPr>
          <w:rFonts w:eastAsia="Malgun Gothic"/>
          <w:lang w:eastAsia="ko-KR"/>
        </w:rPr>
        <w:t xml:space="preserve"> relatively short periods of time (</w:t>
      </w:r>
      <w:r w:rsidR="00DF7F79">
        <w:rPr>
          <w:rFonts w:eastAsia="Malgun Gothic"/>
          <w:lang w:eastAsia="ko-KR"/>
        </w:rPr>
        <w:t xml:space="preserve">e.g., much shorter </w:t>
      </w:r>
      <w:r w:rsidR="00C63111">
        <w:rPr>
          <w:rFonts w:eastAsia="Malgun Gothic"/>
          <w:lang w:eastAsia="ko-KR"/>
        </w:rPr>
        <w:t xml:space="preserve">compared to semi-static </w:t>
      </w:r>
      <w:r w:rsidR="00DF7F79">
        <w:rPr>
          <w:rFonts w:eastAsia="Malgun Gothic"/>
          <w:lang w:eastAsia="ko-KR"/>
        </w:rPr>
        <w:t>signaling time profiles)</w:t>
      </w:r>
      <w:r w:rsidR="00FF4DAD">
        <w:rPr>
          <w:rFonts w:eastAsia="Malgun Gothic"/>
          <w:lang w:eastAsia="ko-KR"/>
        </w:rPr>
        <w:t>, e.g., whenever there would be transfer of relatively large packets</w:t>
      </w:r>
      <w:r w:rsidR="000D277A">
        <w:rPr>
          <w:rFonts w:eastAsia="Malgun Gothic"/>
          <w:lang w:eastAsia="ko-KR"/>
        </w:rPr>
        <w:t xml:space="preserve"> (relative in context of RedCap UEs)</w:t>
      </w:r>
      <w:r w:rsidR="00DF7F79">
        <w:rPr>
          <w:rFonts w:eastAsia="Malgun Gothic"/>
          <w:lang w:eastAsia="ko-KR"/>
        </w:rPr>
        <w:t xml:space="preserve">. </w:t>
      </w:r>
      <w:r w:rsidR="0030204C">
        <w:rPr>
          <w:rFonts w:eastAsia="Malgun Gothic"/>
          <w:lang w:eastAsia="ko-KR"/>
        </w:rPr>
        <w:t xml:space="preserve">For such scenarios, it can be quite beneficial to schedule multiple PDSCHs/PUSCHs using a single DCI format. </w:t>
      </w:r>
    </w:p>
    <w:p w14:paraId="0D735C2F" w14:textId="3C5A519D" w:rsidR="00B24F65" w:rsidRDefault="004A7C0E" w:rsidP="005A51D5">
      <w:pPr>
        <w:rPr>
          <w:rFonts w:eastAsia="Malgun Gothic"/>
          <w:lang w:eastAsia="ko-KR"/>
        </w:rPr>
      </w:pPr>
      <w:r>
        <w:rPr>
          <w:rFonts w:eastAsia="Malgun Gothic"/>
          <w:lang w:eastAsia="ko-KR"/>
        </w:rPr>
        <w:t>A</w:t>
      </w:r>
      <w:r w:rsidR="00747619">
        <w:rPr>
          <w:rFonts w:eastAsia="Malgun Gothic"/>
          <w:lang w:eastAsia="ko-KR"/>
        </w:rPr>
        <w:t xml:space="preserve">lthough </w:t>
      </w:r>
      <w:r w:rsidR="009B3F07">
        <w:rPr>
          <w:rFonts w:eastAsia="Malgun Gothic"/>
          <w:lang w:eastAsia="ko-KR"/>
        </w:rPr>
        <w:t>the size of a single DCI format scheduling multiple PDSCHs/PUSCHs would likely</w:t>
      </w:r>
      <w:r w:rsidR="00977522">
        <w:rPr>
          <w:rFonts w:eastAsia="Malgun Gothic"/>
          <w:lang w:eastAsia="ko-KR"/>
        </w:rPr>
        <w:t xml:space="preserve"> be larger than a DCI format scheduling a single PDCSH/PUSCH</w:t>
      </w:r>
      <w:r w:rsidR="00A16F30">
        <w:rPr>
          <w:rFonts w:eastAsia="Malgun Gothic"/>
          <w:lang w:eastAsia="ko-KR"/>
        </w:rPr>
        <w:t>,</w:t>
      </w:r>
      <w:r w:rsidR="00977522">
        <w:rPr>
          <w:rFonts w:eastAsia="Malgun Gothic"/>
          <w:lang w:eastAsia="ko-KR"/>
        </w:rPr>
        <w:t xml:space="preserve"> and thus, in apparent contradiction with the first feature, </w:t>
      </w:r>
      <w:r w:rsidR="000F3720">
        <w:rPr>
          <w:rFonts w:eastAsia="Malgun Gothic"/>
          <w:lang w:eastAsia="ko-KR"/>
        </w:rPr>
        <w:t xml:space="preserve">the benefits offered would be </w:t>
      </w:r>
      <w:r w:rsidR="00A16F30">
        <w:rPr>
          <w:rFonts w:eastAsia="Malgun Gothic"/>
          <w:lang w:eastAsia="ko-KR"/>
        </w:rPr>
        <w:t xml:space="preserve">at the system level, </w:t>
      </w:r>
      <w:r w:rsidR="00730649">
        <w:rPr>
          <w:rFonts w:eastAsia="Malgun Gothic"/>
          <w:lang w:eastAsia="ko-KR"/>
        </w:rPr>
        <w:t>and can be seen as a way to</w:t>
      </w:r>
      <w:r w:rsidR="000F3720">
        <w:rPr>
          <w:rFonts w:eastAsia="Malgun Gothic"/>
          <w:lang w:eastAsia="ko-KR"/>
        </w:rPr>
        <w:t xml:space="preserve"> </w:t>
      </w:r>
      <w:r w:rsidR="00116887">
        <w:rPr>
          <w:rFonts w:eastAsia="Malgun Gothic"/>
          <w:lang w:eastAsia="ko-KR"/>
        </w:rPr>
        <w:t>mitigat</w:t>
      </w:r>
      <w:r w:rsidR="00730649">
        <w:rPr>
          <w:rFonts w:eastAsia="Malgun Gothic"/>
          <w:lang w:eastAsia="ko-KR"/>
        </w:rPr>
        <w:t>e</w:t>
      </w:r>
      <w:r w:rsidR="00116887">
        <w:rPr>
          <w:rFonts w:eastAsia="Malgun Gothic"/>
          <w:lang w:eastAsia="ko-KR"/>
        </w:rPr>
        <w:t xml:space="preserve"> some of the</w:t>
      </w:r>
      <w:r w:rsidR="00730649">
        <w:rPr>
          <w:rFonts w:eastAsia="Malgun Gothic"/>
          <w:lang w:eastAsia="ko-KR"/>
        </w:rPr>
        <w:t xml:space="preserve"> adverse impact to system spectral efficiency from introduction of service to RedCap UEs in the </w:t>
      </w:r>
      <w:r w:rsidR="009A7DF6">
        <w:rPr>
          <w:rFonts w:eastAsia="Malgun Gothic"/>
          <w:lang w:eastAsia="ko-KR"/>
        </w:rPr>
        <w:t>network</w:t>
      </w:r>
      <w:r w:rsidR="00730649">
        <w:rPr>
          <w:rFonts w:eastAsia="Malgun Gothic"/>
          <w:lang w:eastAsia="ko-KR"/>
        </w:rPr>
        <w:t xml:space="preserve">. </w:t>
      </w:r>
      <w:r w:rsidR="00116887">
        <w:rPr>
          <w:rFonts w:eastAsia="Malgun Gothic"/>
          <w:lang w:eastAsia="ko-KR"/>
        </w:rPr>
        <w:t xml:space="preserve"> </w:t>
      </w:r>
      <w:r w:rsidR="00705890">
        <w:rPr>
          <w:rFonts w:eastAsia="Malgun Gothic"/>
          <w:lang w:eastAsia="ko-KR"/>
        </w:rPr>
        <w:t xml:space="preserve"> </w:t>
      </w:r>
      <w:r w:rsidR="000F3720">
        <w:rPr>
          <w:rFonts w:eastAsia="Malgun Gothic"/>
          <w:lang w:eastAsia="ko-KR"/>
        </w:rPr>
        <w:t xml:space="preserve"> </w:t>
      </w:r>
    </w:p>
    <w:p w14:paraId="6FF9CEEC" w14:textId="77777777" w:rsidR="005A51D5" w:rsidRPr="005A51D5" w:rsidRDefault="005A51D5" w:rsidP="005A51D5">
      <w:pPr>
        <w:rPr>
          <w:rFonts w:eastAsia="Malgun Gothic"/>
          <w:lang w:eastAsia="ko-KR"/>
        </w:rPr>
      </w:pPr>
    </w:p>
    <w:p w14:paraId="15E649BE" w14:textId="77777777" w:rsidR="005A51D5" w:rsidRDefault="0037189E" w:rsidP="00BB73F6">
      <w:pPr>
        <w:rPr>
          <w:rFonts w:eastAsia="Malgun Gothic"/>
          <w:b/>
          <w:bCs/>
          <w:lang w:eastAsia="ko-KR"/>
        </w:rPr>
      </w:pPr>
      <w:r>
        <w:rPr>
          <w:rFonts w:eastAsia="Malgun Gothic"/>
          <w:b/>
          <w:bCs/>
          <w:lang w:eastAsia="ko-KR"/>
        </w:rPr>
        <w:t>Proposal 3</w:t>
      </w:r>
    </w:p>
    <w:p w14:paraId="642898AC" w14:textId="77777777" w:rsidR="005A51D5" w:rsidRDefault="0037189E" w:rsidP="005A51D5">
      <w:pPr>
        <w:pStyle w:val="ListParagraph"/>
        <w:numPr>
          <w:ilvl w:val="0"/>
          <w:numId w:val="21"/>
        </w:numPr>
        <w:rPr>
          <w:rFonts w:eastAsia="Malgun Gothic"/>
          <w:i/>
          <w:iCs/>
          <w:lang w:eastAsia="ko-KR"/>
        </w:rPr>
      </w:pPr>
      <w:r w:rsidRPr="005A51D5">
        <w:rPr>
          <w:rFonts w:eastAsia="Malgun Gothic"/>
          <w:i/>
          <w:iCs/>
          <w:lang w:eastAsia="ko-KR"/>
        </w:rPr>
        <w:t xml:space="preserve">RAN1 to further study approaches to help mitigate the adverse impact to </w:t>
      </w:r>
      <w:r w:rsidR="004400F3" w:rsidRPr="005A51D5">
        <w:rPr>
          <w:rFonts w:eastAsia="Malgun Gothic"/>
          <w:i/>
          <w:iCs/>
          <w:lang w:eastAsia="ko-KR"/>
        </w:rPr>
        <w:t>system-level performance due to reduced PDCCH monitoring capabilities considering impact to scheduling flexibility and user blocking for PDCCH scheduling</w:t>
      </w:r>
      <w:r w:rsidR="00B93D8E" w:rsidRPr="005A51D5">
        <w:rPr>
          <w:rFonts w:eastAsia="Malgun Gothic"/>
          <w:i/>
          <w:iCs/>
          <w:lang w:eastAsia="ko-KR"/>
        </w:rPr>
        <w:t>. At least the following should be considered:</w:t>
      </w:r>
    </w:p>
    <w:p w14:paraId="028CF906" w14:textId="77777777" w:rsidR="005A51D5" w:rsidRDefault="00B93D8E" w:rsidP="005A51D5">
      <w:pPr>
        <w:pStyle w:val="ListParagraph"/>
        <w:numPr>
          <w:ilvl w:val="1"/>
          <w:numId w:val="21"/>
        </w:numPr>
        <w:rPr>
          <w:rFonts w:eastAsia="Malgun Gothic"/>
          <w:i/>
          <w:iCs/>
          <w:lang w:eastAsia="ko-KR"/>
        </w:rPr>
      </w:pPr>
      <w:r w:rsidRPr="005A51D5">
        <w:rPr>
          <w:rFonts w:eastAsia="Malgun Gothic"/>
          <w:i/>
          <w:iCs/>
          <w:lang w:eastAsia="ko-KR"/>
        </w:rPr>
        <w:t>Enabling configuration of DCI formats with compact size, smaller than formats 0_0/1_0 for a given DL/UL BWP.</w:t>
      </w:r>
    </w:p>
    <w:p w14:paraId="708D2717" w14:textId="01039C39" w:rsidR="00B93D8E" w:rsidRPr="005A51D5" w:rsidRDefault="00B93D8E" w:rsidP="005A51D5">
      <w:pPr>
        <w:pStyle w:val="ListParagraph"/>
        <w:numPr>
          <w:ilvl w:val="1"/>
          <w:numId w:val="21"/>
        </w:numPr>
        <w:rPr>
          <w:rFonts w:eastAsia="Malgun Gothic"/>
          <w:i/>
          <w:iCs/>
          <w:lang w:eastAsia="ko-KR"/>
        </w:rPr>
      </w:pPr>
      <w:r w:rsidRPr="005A51D5">
        <w:rPr>
          <w:rFonts w:eastAsia="Malgun Gothic"/>
          <w:i/>
          <w:iCs/>
          <w:lang w:eastAsia="ko-KR"/>
        </w:rPr>
        <w:t>Enabling scheduling of multiple PDSCHs/PUSCHs with different TBs using a single DCI format.</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lastRenderedPageBreak/>
        <w:t>Conclusions</w:t>
      </w:r>
    </w:p>
    <w:p w14:paraId="4CAE5A82" w14:textId="33ECA748" w:rsidR="00720543"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B24F65">
        <w:rPr>
          <w:sz w:val="22"/>
          <w:szCs w:val="28"/>
        </w:rPr>
        <w:t xml:space="preserve">relaxed PDCCH monitoring requirements and simplifications of some of the PDCCH monitoring behaviors compared to Rel15. </w:t>
      </w:r>
      <w:r w:rsidR="003D165B">
        <w:rPr>
          <w:sz w:val="22"/>
          <w:szCs w:val="28"/>
        </w:rPr>
        <w:t>Our views are summarized via the following proposal</w:t>
      </w:r>
      <w:r w:rsidR="00B24F65">
        <w:rPr>
          <w:sz w:val="22"/>
          <w:szCs w:val="28"/>
        </w:rPr>
        <w:t>s:</w:t>
      </w:r>
    </w:p>
    <w:p w14:paraId="46600811" w14:textId="4872830B" w:rsidR="00B31CF6" w:rsidRDefault="00B24F65" w:rsidP="00B24F65">
      <w:pPr>
        <w:pStyle w:val="3GPPNormalText"/>
        <w:rPr>
          <w:sz w:val="22"/>
          <w:szCs w:val="28"/>
        </w:rPr>
      </w:pPr>
      <w:r>
        <w:rPr>
          <w:sz w:val="22"/>
          <w:szCs w:val="28"/>
        </w:rPr>
        <w:t xml:space="preserve"> </w:t>
      </w:r>
    </w:p>
    <w:p w14:paraId="1F7DED13" w14:textId="77777777" w:rsidR="003D165B" w:rsidRDefault="003D165B" w:rsidP="003D165B">
      <w:pPr>
        <w:rPr>
          <w:rFonts w:eastAsia="Malgun Gothic"/>
          <w:b/>
          <w:bCs/>
          <w:lang w:eastAsia="ko-KR"/>
        </w:rPr>
      </w:pPr>
      <w:bookmarkStart w:id="1" w:name="_Ref7850160"/>
      <w:bookmarkStart w:id="2" w:name="_Ref7850250"/>
      <w:bookmarkEnd w:id="1"/>
      <w:bookmarkEnd w:id="2"/>
      <w:r w:rsidRPr="0069190C">
        <w:rPr>
          <w:rFonts w:eastAsia="Malgun Gothic"/>
          <w:b/>
          <w:bCs/>
          <w:lang w:eastAsia="ko-KR"/>
        </w:rPr>
        <w:t>Proposal 1</w:t>
      </w:r>
    </w:p>
    <w:p w14:paraId="3CFCB6FD" w14:textId="77777777" w:rsidR="003D165B" w:rsidRPr="0021241A" w:rsidRDefault="003D165B" w:rsidP="003D165B">
      <w:pPr>
        <w:pStyle w:val="ListParagraph"/>
        <w:numPr>
          <w:ilvl w:val="0"/>
          <w:numId w:val="20"/>
        </w:numPr>
        <w:rPr>
          <w:rFonts w:eastAsia="Malgun Gothic"/>
          <w:i/>
          <w:iCs/>
          <w:lang w:eastAsia="ko-KR"/>
        </w:rPr>
      </w:pPr>
      <w:r w:rsidRPr="0021241A">
        <w:rPr>
          <w:rFonts w:eastAsia="Malgun Gothic"/>
          <w:i/>
          <w:iCs/>
          <w:lang w:eastAsia="ko-KR"/>
        </w:rPr>
        <w:t>Significant reduction on the maximum number of monitored PDCCH candidates and maximum number of non-overlapped CCEs per slot and per serving cell compared to Rel-15 requirements should be considered for RedCap UEs.</w:t>
      </w:r>
    </w:p>
    <w:p w14:paraId="4604CD85" w14:textId="77777777" w:rsidR="003D165B" w:rsidRDefault="003D165B" w:rsidP="003D165B">
      <w:pPr>
        <w:rPr>
          <w:rFonts w:eastAsia="Malgun Gothic"/>
          <w:b/>
          <w:bCs/>
          <w:lang w:eastAsia="ko-KR"/>
        </w:rPr>
      </w:pPr>
      <w:r>
        <w:rPr>
          <w:rFonts w:eastAsia="Malgun Gothic"/>
          <w:b/>
          <w:bCs/>
          <w:lang w:eastAsia="ko-KR"/>
        </w:rPr>
        <w:t>Proposal 2</w:t>
      </w:r>
    </w:p>
    <w:p w14:paraId="414D3757" w14:textId="77777777" w:rsidR="003D165B" w:rsidRDefault="003D165B" w:rsidP="003D165B">
      <w:pPr>
        <w:pStyle w:val="ListParagraph"/>
        <w:numPr>
          <w:ilvl w:val="0"/>
          <w:numId w:val="19"/>
        </w:numPr>
        <w:rPr>
          <w:rFonts w:eastAsia="Malgun Gothic"/>
          <w:i/>
          <w:iCs/>
          <w:lang w:eastAsia="ko-KR"/>
        </w:rPr>
      </w:pPr>
      <w:r w:rsidRPr="0021241A">
        <w:rPr>
          <w:rFonts w:eastAsia="Malgun Gothic"/>
          <w:i/>
          <w:iCs/>
          <w:lang w:eastAsia="ko-KR"/>
        </w:rPr>
        <w:t>RAN1 to further study simplifications/reduction/constraints related to the following features:</w:t>
      </w:r>
    </w:p>
    <w:p w14:paraId="4A50DE25" w14:textId="77777777" w:rsidR="003D165B" w:rsidRDefault="003D165B" w:rsidP="003D165B">
      <w:pPr>
        <w:pStyle w:val="ListParagraph"/>
        <w:numPr>
          <w:ilvl w:val="1"/>
          <w:numId w:val="19"/>
        </w:numPr>
        <w:rPr>
          <w:rFonts w:eastAsia="Malgun Gothic"/>
          <w:i/>
          <w:iCs/>
          <w:lang w:eastAsia="ko-KR"/>
        </w:rPr>
      </w:pPr>
      <w:r w:rsidRPr="0021241A">
        <w:rPr>
          <w:rFonts w:eastAsia="Malgun Gothic"/>
          <w:i/>
          <w:iCs/>
          <w:lang w:eastAsia="ko-KR"/>
        </w:rPr>
        <w:t>Locations of PDCCH monitoring occasions in a slot.</w:t>
      </w:r>
    </w:p>
    <w:p w14:paraId="1B670D9B" w14:textId="77777777" w:rsidR="003D165B" w:rsidRDefault="003D165B" w:rsidP="003D165B">
      <w:pPr>
        <w:pStyle w:val="ListParagraph"/>
        <w:numPr>
          <w:ilvl w:val="1"/>
          <w:numId w:val="19"/>
        </w:numPr>
        <w:rPr>
          <w:rFonts w:eastAsia="Malgun Gothic"/>
          <w:i/>
          <w:iCs/>
          <w:lang w:eastAsia="ko-KR"/>
        </w:rPr>
      </w:pPr>
      <w:r w:rsidRPr="0021241A">
        <w:rPr>
          <w:rFonts w:eastAsia="Malgun Gothic"/>
          <w:i/>
          <w:iCs/>
          <w:lang w:eastAsia="ko-KR"/>
        </w:rPr>
        <w:t>Maximum number of CORESETs and SS sets in a BWP.</w:t>
      </w:r>
    </w:p>
    <w:p w14:paraId="5B81B6D1" w14:textId="77777777" w:rsidR="003D165B" w:rsidRDefault="003D165B" w:rsidP="003D165B">
      <w:pPr>
        <w:pStyle w:val="ListParagraph"/>
        <w:numPr>
          <w:ilvl w:val="1"/>
          <w:numId w:val="19"/>
        </w:numPr>
        <w:rPr>
          <w:rFonts w:eastAsia="Malgun Gothic"/>
          <w:i/>
          <w:iCs/>
          <w:lang w:eastAsia="ko-KR"/>
        </w:rPr>
      </w:pPr>
      <w:r w:rsidRPr="0021241A">
        <w:rPr>
          <w:rFonts w:eastAsia="Malgun Gothic"/>
          <w:i/>
          <w:iCs/>
          <w:lang w:eastAsia="ko-KR"/>
        </w:rPr>
        <w:t>Maximum number of DCI format sizes compared to the “3+1” rule of Rel-15.</w:t>
      </w:r>
    </w:p>
    <w:p w14:paraId="1A4F6305" w14:textId="77777777" w:rsidR="003D165B" w:rsidRDefault="003D165B" w:rsidP="003D165B">
      <w:pPr>
        <w:pStyle w:val="ListParagraph"/>
        <w:numPr>
          <w:ilvl w:val="1"/>
          <w:numId w:val="19"/>
        </w:numPr>
        <w:rPr>
          <w:rFonts w:eastAsia="Malgun Gothic"/>
          <w:i/>
          <w:iCs/>
          <w:lang w:eastAsia="ko-KR"/>
        </w:rPr>
      </w:pPr>
      <w:r w:rsidRPr="0021241A">
        <w:rPr>
          <w:rFonts w:eastAsia="MS Mincho"/>
          <w:i/>
          <w:iCs/>
        </w:rPr>
        <w:t>Overlapping monitoring occasions.</w:t>
      </w:r>
      <w:r w:rsidRPr="0021241A">
        <w:rPr>
          <w:rFonts w:eastAsia="Malgun Gothic"/>
          <w:i/>
          <w:iCs/>
          <w:lang w:eastAsia="ko-KR"/>
        </w:rPr>
        <w:t xml:space="preserve"> </w:t>
      </w:r>
    </w:p>
    <w:p w14:paraId="72966A4A" w14:textId="77777777" w:rsidR="003D165B" w:rsidRPr="0021241A" w:rsidRDefault="003D165B" w:rsidP="003D165B">
      <w:pPr>
        <w:pStyle w:val="ListParagraph"/>
        <w:numPr>
          <w:ilvl w:val="1"/>
          <w:numId w:val="19"/>
        </w:numPr>
        <w:rPr>
          <w:rFonts w:eastAsia="Malgun Gothic"/>
          <w:i/>
          <w:iCs/>
          <w:lang w:eastAsia="ko-KR"/>
        </w:rPr>
      </w:pPr>
      <w:r w:rsidRPr="0021241A">
        <w:rPr>
          <w:rFonts w:eastAsia="Malgun Gothic"/>
          <w:i/>
          <w:iCs/>
          <w:lang w:eastAsia="ko-KR"/>
        </w:rPr>
        <w:t>Maximum number of DL and UL scheduling DCI formats that a UE may be expected to store.</w:t>
      </w:r>
    </w:p>
    <w:p w14:paraId="0F7890EC" w14:textId="77777777" w:rsidR="003D165B" w:rsidRDefault="003D165B" w:rsidP="003D165B">
      <w:pPr>
        <w:rPr>
          <w:rFonts w:eastAsia="Malgun Gothic"/>
          <w:b/>
          <w:bCs/>
          <w:lang w:eastAsia="ko-KR"/>
        </w:rPr>
      </w:pPr>
      <w:r>
        <w:rPr>
          <w:rFonts w:eastAsia="Malgun Gothic"/>
          <w:b/>
          <w:bCs/>
          <w:lang w:eastAsia="ko-KR"/>
        </w:rPr>
        <w:t>Proposal 3</w:t>
      </w:r>
    </w:p>
    <w:p w14:paraId="1F5C60EA" w14:textId="77777777" w:rsidR="003D165B" w:rsidRDefault="003D165B" w:rsidP="003D165B">
      <w:pPr>
        <w:pStyle w:val="ListParagraph"/>
        <w:numPr>
          <w:ilvl w:val="0"/>
          <w:numId w:val="21"/>
        </w:numPr>
        <w:rPr>
          <w:rFonts w:eastAsia="Malgun Gothic"/>
          <w:i/>
          <w:iCs/>
          <w:lang w:eastAsia="ko-KR"/>
        </w:rPr>
      </w:pPr>
      <w:r w:rsidRPr="005A51D5">
        <w:rPr>
          <w:rFonts w:eastAsia="Malgun Gothic"/>
          <w:i/>
          <w:iCs/>
          <w:lang w:eastAsia="ko-KR"/>
        </w:rPr>
        <w:t>RAN1 to further study approaches to help mitigate the adverse impact to system-level performance due to reduced PDCCH monitoring capabilities considering impact to scheduling flexibility and user blocking for PDCCH scheduling. At least the following should be considered:</w:t>
      </w:r>
    </w:p>
    <w:p w14:paraId="35FEA6CF" w14:textId="77777777" w:rsidR="003D165B" w:rsidRDefault="003D165B" w:rsidP="003D165B">
      <w:pPr>
        <w:pStyle w:val="ListParagraph"/>
        <w:numPr>
          <w:ilvl w:val="1"/>
          <w:numId w:val="21"/>
        </w:numPr>
        <w:rPr>
          <w:rFonts w:eastAsia="Malgun Gothic"/>
          <w:i/>
          <w:iCs/>
          <w:lang w:eastAsia="ko-KR"/>
        </w:rPr>
      </w:pPr>
      <w:r w:rsidRPr="005A51D5">
        <w:rPr>
          <w:rFonts w:eastAsia="Malgun Gothic"/>
          <w:i/>
          <w:iCs/>
          <w:lang w:eastAsia="ko-KR"/>
        </w:rPr>
        <w:t>Enabling configuration of DCI formats with compact size, smaller than formats 0_0/1_0 for a given DL/UL BWP.</w:t>
      </w:r>
    </w:p>
    <w:p w14:paraId="393E10D8" w14:textId="68189525" w:rsidR="003D165B" w:rsidRPr="003D165B" w:rsidRDefault="003D165B" w:rsidP="003D165B">
      <w:pPr>
        <w:pStyle w:val="ListParagraph"/>
        <w:numPr>
          <w:ilvl w:val="1"/>
          <w:numId w:val="21"/>
        </w:numPr>
        <w:rPr>
          <w:rFonts w:eastAsia="Malgun Gothic"/>
          <w:i/>
          <w:iCs/>
          <w:lang w:eastAsia="ko-KR"/>
        </w:rPr>
      </w:pPr>
      <w:r w:rsidRPr="005A51D5">
        <w:rPr>
          <w:rFonts w:eastAsia="Malgun Gothic"/>
          <w:i/>
          <w:iCs/>
          <w:lang w:eastAsia="ko-KR"/>
        </w:rPr>
        <w:t>Enabling scheduling of multiple PDSCHs/PUSCHs with different TBs using a single DCI format.</w:t>
      </w:r>
      <w:bookmarkStart w:id="3" w:name="_GoBack"/>
      <w:bookmarkEnd w:id="3"/>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7753E23" w:rsidR="00CF2A29" w:rsidRDefault="00784898" w:rsidP="004D4EC9">
      <w:pPr>
        <w:widowControl w:val="0"/>
        <w:numPr>
          <w:ilvl w:val="0"/>
          <w:numId w:val="7"/>
        </w:numPr>
        <w:overflowPunct w:val="0"/>
        <w:snapToGrid/>
      </w:pPr>
      <w:bookmarkStart w:id="4" w:name="_Ref40451726"/>
      <w:r w:rsidRPr="00784898">
        <w:t>RP-193238, New SID on support of reduced capability NR devices</w:t>
      </w:r>
      <w:r>
        <w:t>.</w:t>
      </w:r>
      <w:bookmarkEnd w:id="4"/>
    </w:p>
    <w:p w14:paraId="0A2CF560" w14:textId="7080ABAD" w:rsidR="00BD4BC2" w:rsidRPr="00BD4BC2" w:rsidRDefault="00BD4BC2" w:rsidP="00BD4BC2">
      <w:pPr>
        <w:pStyle w:val="N1"/>
        <w:numPr>
          <w:ilvl w:val="0"/>
          <w:numId w:val="7"/>
        </w:numPr>
        <w:jc w:val="both"/>
        <w:rPr>
          <w:rFonts w:ascii="Times New Roman" w:hAnsi="Times New Roman" w:cs="Times New Roman"/>
        </w:rPr>
      </w:pPr>
      <w:bookmarkStart w:id="5" w:name="_Ref40451751"/>
      <w:r w:rsidRPr="00BD4BC2">
        <w:rPr>
          <w:rFonts w:ascii="Times New Roman" w:hAnsi="Times New Roman" w:cs="Times New Roman"/>
        </w:rPr>
        <w:t>TS</w:t>
      </w:r>
      <w:r>
        <w:rPr>
          <w:rFonts w:ascii="Times New Roman" w:hAnsi="Times New Roman" w:cs="Times New Roman"/>
        </w:rPr>
        <w:t xml:space="preserve"> </w:t>
      </w:r>
      <w:r w:rsidRPr="00BD4BC2">
        <w:rPr>
          <w:rFonts w:ascii="Times New Roman" w:hAnsi="Times New Roman" w:cs="Times New Roman"/>
        </w:rPr>
        <w:t xml:space="preserve">38.213, “NR: Physical layer procedures for control”, </w:t>
      </w:r>
      <w:r>
        <w:rPr>
          <w:rFonts w:ascii="Times New Roman" w:hAnsi="Times New Roman" w:cs="Times New Roman"/>
        </w:rPr>
        <w:t>v</w:t>
      </w:r>
      <w:r w:rsidRPr="00BD4BC2">
        <w:rPr>
          <w:rFonts w:ascii="Times New Roman" w:hAnsi="Times New Roman" w:cs="Times New Roman"/>
        </w:rPr>
        <w:t>16.1.0</w:t>
      </w:r>
      <w:bookmarkEnd w:id="5"/>
    </w:p>
    <w:p w14:paraId="77DD91BD" w14:textId="77777777" w:rsidR="00BD4BC2" w:rsidRPr="00CF2A29" w:rsidRDefault="00BD4BC2" w:rsidP="00BD4BC2">
      <w:pPr>
        <w:widowControl w:val="0"/>
        <w:overflowPunct w:val="0"/>
        <w:snapToGrid/>
        <w:ind w:left="420"/>
      </w:pPr>
    </w:p>
    <w:sectPr w:rsidR="00BD4BC2" w:rsidRPr="00CF2A29">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C52AD" w14:textId="77777777" w:rsidR="00ED5AC4" w:rsidRDefault="00ED5AC4" w:rsidP="004C0876">
      <w:pPr>
        <w:spacing w:after="0"/>
      </w:pPr>
      <w:r>
        <w:separator/>
      </w:r>
    </w:p>
  </w:endnote>
  <w:endnote w:type="continuationSeparator" w:id="0">
    <w:p w14:paraId="1C286E24" w14:textId="77777777" w:rsidR="00ED5AC4" w:rsidRDefault="00ED5AC4"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D3D78" w14:textId="77777777" w:rsidR="00ED5AC4" w:rsidRDefault="00ED5AC4" w:rsidP="004C0876">
      <w:pPr>
        <w:spacing w:after="0"/>
      </w:pPr>
      <w:r>
        <w:separator/>
      </w:r>
    </w:p>
  </w:footnote>
  <w:footnote w:type="continuationSeparator" w:id="0">
    <w:p w14:paraId="35B18B62" w14:textId="77777777" w:rsidR="00ED5AC4" w:rsidRDefault="00ED5AC4"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4207"/>
    <w:multiLevelType w:val="hybridMultilevel"/>
    <w:tmpl w:val="7620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B709A"/>
    <w:multiLevelType w:val="hybridMultilevel"/>
    <w:tmpl w:val="38FC6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9573B5"/>
    <w:multiLevelType w:val="hybridMultilevel"/>
    <w:tmpl w:val="7CA8C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981786"/>
    <w:multiLevelType w:val="hybridMultilevel"/>
    <w:tmpl w:val="4EE88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A74300"/>
    <w:multiLevelType w:val="hybridMultilevel"/>
    <w:tmpl w:val="15A24F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6C10BF8"/>
    <w:multiLevelType w:val="hybridMultilevel"/>
    <w:tmpl w:val="989E5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206F71"/>
    <w:multiLevelType w:val="hybridMultilevel"/>
    <w:tmpl w:val="3D32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72C77"/>
    <w:multiLevelType w:val="hybridMultilevel"/>
    <w:tmpl w:val="222EB12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6"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1773439"/>
    <w:multiLevelType w:val="hybridMultilevel"/>
    <w:tmpl w:val="4470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5"/>
  </w:num>
  <w:num w:numId="2">
    <w:abstractNumId w:val="7"/>
  </w:num>
  <w:num w:numId="3">
    <w:abstractNumId w:val="16"/>
  </w:num>
  <w:num w:numId="4">
    <w:abstractNumId w:val="18"/>
  </w:num>
  <w:num w:numId="5">
    <w:abstractNumId w:val="3"/>
  </w:num>
  <w:num w:numId="6">
    <w:abstractNumId w:val="14"/>
  </w:num>
  <w:num w:numId="7">
    <w:abstractNumId w:val="19"/>
  </w:num>
  <w:num w:numId="8">
    <w:abstractNumId w:val="4"/>
  </w:num>
  <w:num w:numId="9">
    <w:abstractNumId w:val="8"/>
  </w:num>
  <w:num w:numId="10">
    <w:abstractNumId w:val="13"/>
  </w:num>
  <w:num w:numId="11">
    <w:abstractNumId w:val="2"/>
  </w:num>
  <w:num w:numId="12">
    <w:abstractNumId w:val="2"/>
  </w:num>
  <w:num w:numId="13">
    <w:abstractNumId w:val="0"/>
  </w:num>
  <w:num w:numId="14">
    <w:abstractNumId w:val="17"/>
  </w:num>
  <w:num w:numId="15">
    <w:abstractNumId w:val="1"/>
  </w:num>
  <w:num w:numId="16">
    <w:abstractNumId w:val="6"/>
  </w:num>
  <w:num w:numId="17">
    <w:abstractNumId w:val="15"/>
  </w:num>
  <w:num w:numId="18">
    <w:abstractNumId w:val="12"/>
  </w:num>
  <w:num w:numId="19">
    <w:abstractNumId w:val="9"/>
  </w:num>
  <w:num w:numId="20">
    <w:abstractNumId w:val="11"/>
  </w:num>
  <w:num w:numId="2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05F7B"/>
    <w:rsid w:val="000107BE"/>
    <w:rsid w:val="000123AD"/>
    <w:rsid w:val="000126B2"/>
    <w:rsid w:val="00012884"/>
    <w:rsid w:val="0001344B"/>
    <w:rsid w:val="000140A3"/>
    <w:rsid w:val="00016127"/>
    <w:rsid w:val="000161B0"/>
    <w:rsid w:val="00026966"/>
    <w:rsid w:val="00031D16"/>
    <w:rsid w:val="00031EE5"/>
    <w:rsid w:val="000336F4"/>
    <w:rsid w:val="000368EC"/>
    <w:rsid w:val="00045042"/>
    <w:rsid w:val="0005089C"/>
    <w:rsid w:val="00056843"/>
    <w:rsid w:val="00057A3B"/>
    <w:rsid w:val="00060BC7"/>
    <w:rsid w:val="00066263"/>
    <w:rsid w:val="00066338"/>
    <w:rsid w:val="00070570"/>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277A"/>
    <w:rsid w:val="000D3E51"/>
    <w:rsid w:val="000D504F"/>
    <w:rsid w:val="000D6144"/>
    <w:rsid w:val="000E3AFE"/>
    <w:rsid w:val="000E453D"/>
    <w:rsid w:val="000E539A"/>
    <w:rsid w:val="000E5F47"/>
    <w:rsid w:val="000E7322"/>
    <w:rsid w:val="000E7348"/>
    <w:rsid w:val="000F3720"/>
    <w:rsid w:val="000F5C68"/>
    <w:rsid w:val="000F6703"/>
    <w:rsid w:val="0010108F"/>
    <w:rsid w:val="00101523"/>
    <w:rsid w:val="00104598"/>
    <w:rsid w:val="00107B7C"/>
    <w:rsid w:val="00111CEF"/>
    <w:rsid w:val="0011528F"/>
    <w:rsid w:val="00116887"/>
    <w:rsid w:val="00117014"/>
    <w:rsid w:val="00117834"/>
    <w:rsid w:val="001179B7"/>
    <w:rsid w:val="00122885"/>
    <w:rsid w:val="00122E13"/>
    <w:rsid w:val="00124713"/>
    <w:rsid w:val="00131566"/>
    <w:rsid w:val="00132CEA"/>
    <w:rsid w:val="001341DE"/>
    <w:rsid w:val="00136B68"/>
    <w:rsid w:val="0014156D"/>
    <w:rsid w:val="00143AA5"/>
    <w:rsid w:val="001506A7"/>
    <w:rsid w:val="00152DB1"/>
    <w:rsid w:val="001539A0"/>
    <w:rsid w:val="00154219"/>
    <w:rsid w:val="001567AA"/>
    <w:rsid w:val="00165495"/>
    <w:rsid w:val="00166E1E"/>
    <w:rsid w:val="00167110"/>
    <w:rsid w:val="001719B6"/>
    <w:rsid w:val="00173F7A"/>
    <w:rsid w:val="00176BA2"/>
    <w:rsid w:val="00183D53"/>
    <w:rsid w:val="00183D99"/>
    <w:rsid w:val="00185C61"/>
    <w:rsid w:val="00186C7F"/>
    <w:rsid w:val="00186F19"/>
    <w:rsid w:val="00192AFC"/>
    <w:rsid w:val="00193D4C"/>
    <w:rsid w:val="001A2F6C"/>
    <w:rsid w:val="001A52DB"/>
    <w:rsid w:val="001A584E"/>
    <w:rsid w:val="001A7CD0"/>
    <w:rsid w:val="001B0A55"/>
    <w:rsid w:val="001B117D"/>
    <w:rsid w:val="001C0C19"/>
    <w:rsid w:val="001C0EEB"/>
    <w:rsid w:val="001C2991"/>
    <w:rsid w:val="001D08D5"/>
    <w:rsid w:val="001D0D21"/>
    <w:rsid w:val="001D0FB2"/>
    <w:rsid w:val="001D4654"/>
    <w:rsid w:val="001D77CC"/>
    <w:rsid w:val="001E06A4"/>
    <w:rsid w:val="001E08B1"/>
    <w:rsid w:val="001E3135"/>
    <w:rsid w:val="001E5720"/>
    <w:rsid w:val="001E7B74"/>
    <w:rsid w:val="001F3D96"/>
    <w:rsid w:val="001F46C4"/>
    <w:rsid w:val="001F51E5"/>
    <w:rsid w:val="001F64A9"/>
    <w:rsid w:val="001F7087"/>
    <w:rsid w:val="00200F8F"/>
    <w:rsid w:val="002018B8"/>
    <w:rsid w:val="00202B61"/>
    <w:rsid w:val="00203A34"/>
    <w:rsid w:val="00205E91"/>
    <w:rsid w:val="0020747E"/>
    <w:rsid w:val="00211B66"/>
    <w:rsid w:val="00211D62"/>
    <w:rsid w:val="0021241A"/>
    <w:rsid w:val="00217B5F"/>
    <w:rsid w:val="002212B8"/>
    <w:rsid w:val="002234A7"/>
    <w:rsid w:val="002237E6"/>
    <w:rsid w:val="00224209"/>
    <w:rsid w:val="0023365D"/>
    <w:rsid w:val="002336C0"/>
    <w:rsid w:val="002347E5"/>
    <w:rsid w:val="00234EB8"/>
    <w:rsid w:val="00240004"/>
    <w:rsid w:val="00240779"/>
    <w:rsid w:val="00240A24"/>
    <w:rsid w:val="00241CB7"/>
    <w:rsid w:val="002470AB"/>
    <w:rsid w:val="002518AC"/>
    <w:rsid w:val="002555EA"/>
    <w:rsid w:val="002570CB"/>
    <w:rsid w:val="002579A4"/>
    <w:rsid w:val="002605A8"/>
    <w:rsid w:val="0026234E"/>
    <w:rsid w:val="00273359"/>
    <w:rsid w:val="00274972"/>
    <w:rsid w:val="002815BC"/>
    <w:rsid w:val="00283CE6"/>
    <w:rsid w:val="00284D0A"/>
    <w:rsid w:val="00285D81"/>
    <w:rsid w:val="0028713D"/>
    <w:rsid w:val="002912A4"/>
    <w:rsid w:val="002940DE"/>
    <w:rsid w:val="002941D2"/>
    <w:rsid w:val="00294EC7"/>
    <w:rsid w:val="00295114"/>
    <w:rsid w:val="00295687"/>
    <w:rsid w:val="00295E1C"/>
    <w:rsid w:val="002A288F"/>
    <w:rsid w:val="002A4D2B"/>
    <w:rsid w:val="002A5D6A"/>
    <w:rsid w:val="002A6E15"/>
    <w:rsid w:val="002B254D"/>
    <w:rsid w:val="002B39FC"/>
    <w:rsid w:val="002B5711"/>
    <w:rsid w:val="002B5780"/>
    <w:rsid w:val="002B6308"/>
    <w:rsid w:val="002B647B"/>
    <w:rsid w:val="002C0FF0"/>
    <w:rsid w:val="002C3BEF"/>
    <w:rsid w:val="002C5B81"/>
    <w:rsid w:val="002C77D0"/>
    <w:rsid w:val="002D0444"/>
    <w:rsid w:val="002D1F61"/>
    <w:rsid w:val="002D39F9"/>
    <w:rsid w:val="002D6854"/>
    <w:rsid w:val="002E1C44"/>
    <w:rsid w:val="002E5F18"/>
    <w:rsid w:val="002E6D80"/>
    <w:rsid w:val="002F0669"/>
    <w:rsid w:val="002F17FA"/>
    <w:rsid w:val="002F3829"/>
    <w:rsid w:val="002F72EF"/>
    <w:rsid w:val="0030204C"/>
    <w:rsid w:val="00302709"/>
    <w:rsid w:val="003039E9"/>
    <w:rsid w:val="00306524"/>
    <w:rsid w:val="0031191B"/>
    <w:rsid w:val="003138D8"/>
    <w:rsid w:val="00315D8B"/>
    <w:rsid w:val="003161AB"/>
    <w:rsid w:val="00317C62"/>
    <w:rsid w:val="00324F04"/>
    <w:rsid w:val="00325D35"/>
    <w:rsid w:val="00326529"/>
    <w:rsid w:val="00327E8D"/>
    <w:rsid w:val="00332DAB"/>
    <w:rsid w:val="00332E01"/>
    <w:rsid w:val="003401B2"/>
    <w:rsid w:val="00341D78"/>
    <w:rsid w:val="00343084"/>
    <w:rsid w:val="00344AB1"/>
    <w:rsid w:val="00351238"/>
    <w:rsid w:val="00351B20"/>
    <w:rsid w:val="003527B3"/>
    <w:rsid w:val="003557D5"/>
    <w:rsid w:val="00355B65"/>
    <w:rsid w:val="00360291"/>
    <w:rsid w:val="00360AC9"/>
    <w:rsid w:val="00360D81"/>
    <w:rsid w:val="00361449"/>
    <w:rsid w:val="003617AC"/>
    <w:rsid w:val="00363631"/>
    <w:rsid w:val="003636FA"/>
    <w:rsid w:val="00365284"/>
    <w:rsid w:val="003714E6"/>
    <w:rsid w:val="0037189E"/>
    <w:rsid w:val="00371CD2"/>
    <w:rsid w:val="00373064"/>
    <w:rsid w:val="0037509A"/>
    <w:rsid w:val="00380B12"/>
    <w:rsid w:val="00381DE8"/>
    <w:rsid w:val="00382306"/>
    <w:rsid w:val="00384478"/>
    <w:rsid w:val="00386C31"/>
    <w:rsid w:val="00386E2D"/>
    <w:rsid w:val="0039171C"/>
    <w:rsid w:val="00392DE3"/>
    <w:rsid w:val="00395618"/>
    <w:rsid w:val="003B4A93"/>
    <w:rsid w:val="003B789C"/>
    <w:rsid w:val="003C0107"/>
    <w:rsid w:val="003C3888"/>
    <w:rsid w:val="003C3F44"/>
    <w:rsid w:val="003C64C0"/>
    <w:rsid w:val="003C7404"/>
    <w:rsid w:val="003D165B"/>
    <w:rsid w:val="003D1F41"/>
    <w:rsid w:val="003D5061"/>
    <w:rsid w:val="003D6804"/>
    <w:rsid w:val="003D70B8"/>
    <w:rsid w:val="003E64FE"/>
    <w:rsid w:val="003F2FB1"/>
    <w:rsid w:val="003F342A"/>
    <w:rsid w:val="003F3E90"/>
    <w:rsid w:val="003F4458"/>
    <w:rsid w:val="003F6055"/>
    <w:rsid w:val="00400F3F"/>
    <w:rsid w:val="004033AC"/>
    <w:rsid w:val="00403808"/>
    <w:rsid w:val="00403F4B"/>
    <w:rsid w:val="00405B58"/>
    <w:rsid w:val="00411A32"/>
    <w:rsid w:val="00420B27"/>
    <w:rsid w:val="00421B53"/>
    <w:rsid w:val="00422213"/>
    <w:rsid w:val="004225F4"/>
    <w:rsid w:val="00424309"/>
    <w:rsid w:val="0042583C"/>
    <w:rsid w:val="00425AF1"/>
    <w:rsid w:val="00426B9F"/>
    <w:rsid w:val="004275AA"/>
    <w:rsid w:val="00431409"/>
    <w:rsid w:val="004316B6"/>
    <w:rsid w:val="00432742"/>
    <w:rsid w:val="004400F3"/>
    <w:rsid w:val="00446A9A"/>
    <w:rsid w:val="004539CF"/>
    <w:rsid w:val="00453AE2"/>
    <w:rsid w:val="004540FD"/>
    <w:rsid w:val="00455A38"/>
    <w:rsid w:val="00456445"/>
    <w:rsid w:val="00457B09"/>
    <w:rsid w:val="00467639"/>
    <w:rsid w:val="0047289B"/>
    <w:rsid w:val="00472A5C"/>
    <w:rsid w:val="00473358"/>
    <w:rsid w:val="00474429"/>
    <w:rsid w:val="00477429"/>
    <w:rsid w:val="004776C6"/>
    <w:rsid w:val="00481CA9"/>
    <w:rsid w:val="0048233C"/>
    <w:rsid w:val="004829D5"/>
    <w:rsid w:val="00483DE4"/>
    <w:rsid w:val="0048613C"/>
    <w:rsid w:val="00486F84"/>
    <w:rsid w:val="004872BB"/>
    <w:rsid w:val="0049086E"/>
    <w:rsid w:val="00491BE1"/>
    <w:rsid w:val="00491ECD"/>
    <w:rsid w:val="004A29B4"/>
    <w:rsid w:val="004A3353"/>
    <w:rsid w:val="004A66C5"/>
    <w:rsid w:val="004A698C"/>
    <w:rsid w:val="004A7C0E"/>
    <w:rsid w:val="004B1692"/>
    <w:rsid w:val="004B2B34"/>
    <w:rsid w:val="004B31EF"/>
    <w:rsid w:val="004B56FF"/>
    <w:rsid w:val="004B58F6"/>
    <w:rsid w:val="004B6A27"/>
    <w:rsid w:val="004C0876"/>
    <w:rsid w:val="004C373B"/>
    <w:rsid w:val="004C4200"/>
    <w:rsid w:val="004D08B1"/>
    <w:rsid w:val="004D26CA"/>
    <w:rsid w:val="004D4B46"/>
    <w:rsid w:val="004D4EC9"/>
    <w:rsid w:val="004E1E40"/>
    <w:rsid w:val="004E25E8"/>
    <w:rsid w:val="004E3E1B"/>
    <w:rsid w:val="004E411E"/>
    <w:rsid w:val="004E67E2"/>
    <w:rsid w:val="004E75BE"/>
    <w:rsid w:val="004E785E"/>
    <w:rsid w:val="004F072F"/>
    <w:rsid w:val="005012D8"/>
    <w:rsid w:val="00501757"/>
    <w:rsid w:val="0050245D"/>
    <w:rsid w:val="0050584C"/>
    <w:rsid w:val="00505BA7"/>
    <w:rsid w:val="005069D7"/>
    <w:rsid w:val="005078CF"/>
    <w:rsid w:val="00507C2D"/>
    <w:rsid w:val="00511B87"/>
    <w:rsid w:val="0051481E"/>
    <w:rsid w:val="00520EE0"/>
    <w:rsid w:val="00522931"/>
    <w:rsid w:val="005230AE"/>
    <w:rsid w:val="00526069"/>
    <w:rsid w:val="00526711"/>
    <w:rsid w:val="005274EA"/>
    <w:rsid w:val="00527DB8"/>
    <w:rsid w:val="00532625"/>
    <w:rsid w:val="00533807"/>
    <w:rsid w:val="005357B3"/>
    <w:rsid w:val="005366F4"/>
    <w:rsid w:val="00536923"/>
    <w:rsid w:val="005432FA"/>
    <w:rsid w:val="00545D32"/>
    <w:rsid w:val="005474C2"/>
    <w:rsid w:val="00553025"/>
    <w:rsid w:val="0055356A"/>
    <w:rsid w:val="005555AB"/>
    <w:rsid w:val="00556E47"/>
    <w:rsid w:val="00556F18"/>
    <w:rsid w:val="005602D4"/>
    <w:rsid w:val="0056066F"/>
    <w:rsid w:val="005623AD"/>
    <w:rsid w:val="005652C9"/>
    <w:rsid w:val="00566E19"/>
    <w:rsid w:val="005676A9"/>
    <w:rsid w:val="00567A07"/>
    <w:rsid w:val="00570C00"/>
    <w:rsid w:val="00575FF3"/>
    <w:rsid w:val="00576317"/>
    <w:rsid w:val="00580364"/>
    <w:rsid w:val="00584507"/>
    <w:rsid w:val="00584645"/>
    <w:rsid w:val="00584DB4"/>
    <w:rsid w:val="00587799"/>
    <w:rsid w:val="00590AC1"/>
    <w:rsid w:val="0059316E"/>
    <w:rsid w:val="00593743"/>
    <w:rsid w:val="00593F41"/>
    <w:rsid w:val="0059616A"/>
    <w:rsid w:val="00597E69"/>
    <w:rsid w:val="005A20EA"/>
    <w:rsid w:val="005A2599"/>
    <w:rsid w:val="005A2C11"/>
    <w:rsid w:val="005A4217"/>
    <w:rsid w:val="005A51D5"/>
    <w:rsid w:val="005A573E"/>
    <w:rsid w:val="005B18BB"/>
    <w:rsid w:val="005B295B"/>
    <w:rsid w:val="005B3671"/>
    <w:rsid w:val="005B3D3B"/>
    <w:rsid w:val="005B56C3"/>
    <w:rsid w:val="005C0AAD"/>
    <w:rsid w:val="005C0AEE"/>
    <w:rsid w:val="005C2450"/>
    <w:rsid w:val="005C3365"/>
    <w:rsid w:val="005C47CE"/>
    <w:rsid w:val="005D57E8"/>
    <w:rsid w:val="005D6105"/>
    <w:rsid w:val="005E02C3"/>
    <w:rsid w:val="005E11B7"/>
    <w:rsid w:val="005E150E"/>
    <w:rsid w:val="005E3AFB"/>
    <w:rsid w:val="005E61A6"/>
    <w:rsid w:val="005E6FA9"/>
    <w:rsid w:val="005E75D1"/>
    <w:rsid w:val="005F1597"/>
    <w:rsid w:val="005F402D"/>
    <w:rsid w:val="005F54E8"/>
    <w:rsid w:val="005F7876"/>
    <w:rsid w:val="00600954"/>
    <w:rsid w:val="00600D51"/>
    <w:rsid w:val="00601EEC"/>
    <w:rsid w:val="0060334F"/>
    <w:rsid w:val="00603F9D"/>
    <w:rsid w:val="00605A1A"/>
    <w:rsid w:val="00606502"/>
    <w:rsid w:val="00610BCA"/>
    <w:rsid w:val="00611C64"/>
    <w:rsid w:val="006126E0"/>
    <w:rsid w:val="00613651"/>
    <w:rsid w:val="00613654"/>
    <w:rsid w:val="00614264"/>
    <w:rsid w:val="00617BFF"/>
    <w:rsid w:val="006208F9"/>
    <w:rsid w:val="00624F23"/>
    <w:rsid w:val="00630509"/>
    <w:rsid w:val="00632337"/>
    <w:rsid w:val="00632787"/>
    <w:rsid w:val="00633093"/>
    <w:rsid w:val="006333BB"/>
    <w:rsid w:val="00640534"/>
    <w:rsid w:val="00643A65"/>
    <w:rsid w:val="00643CBE"/>
    <w:rsid w:val="0064493A"/>
    <w:rsid w:val="00650450"/>
    <w:rsid w:val="00650D8F"/>
    <w:rsid w:val="00650DF0"/>
    <w:rsid w:val="00651A80"/>
    <w:rsid w:val="00651F55"/>
    <w:rsid w:val="006523A9"/>
    <w:rsid w:val="00652B69"/>
    <w:rsid w:val="00654504"/>
    <w:rsid w:val="00654E02"/>
    <w:rsid w:val="00656DA1"/>
    <w:rsid w:val="006614D5"/>
    <w:rsid w:val="00665D26"/>
    <w:rsid w:val="00666723"/>
    <w:rsid w:val="00666AF6"/>
    <w:rsid w:val="00666AFD"/>
    <w:rsid w:val="00672097"/>
    <w:rsid w:val="00672262"/>
    <w:rsid w:val="00675E47"/>
    <w:rsid w:val="00677DCC"/>
    <w:rsid w:val="00680085"/>
    <w:rsid w:val="006808CB"/>
    <w:rsid w:val="00680D79"/>
    <w:rsid w:val="00683172"/>
    <w:rsid w:val="00684CA9"/>
    <w:rsid w:val="00690BFF"/>
    <w:rsid w:val="0069110E"/>
    <w:rsid w:val="006911BA"/>
    <w:rsid w:val="0069190C"/>
    <w:rsid w:val="00697979"/>
    <w:rsid w:val="006A1C8D"/>
    <w:rsid w:val="006A22AC"/>
    <w:rsid w:val="006A2EE1"/>
    <w:rsid w:val="006A304A"/>
    <w:rsid w:val="006A3CB7"/>
    <w:rsid w:val="006A3CEB"/>
    <w:rsid w:val="006A3F3C"/>
    <w:rsid w:val="006A66B9"/>
    <w:rsid w:val="006A6F69"/>
    <w:rsid w:val="006A7814"/>
    <w:rsid w:val="006B15FA"/>
    <w:rsid w:val="006B4FA5"/>
    <w:rsid w:val="006C1FB7"/>
    <w:rsid w:val="006C58B2"/>
    <w:rsid w:val="006C7448"/>
    <w:rsid w:val="006D0A61"/>
    <w:rsid w:val="006D1697"/>
    <w:rsid w:val="006D2697"/>
    <w:rsid w:val="006D297E"/>
    <w:rsid w:val="006D4959"/>
    <w:rsid w:val="006D4A0C"/>
    <w:rsid w:val="006D4D28"/>
    <w:rsid w:val="006D50D2"/>
    <w:rsid w:val="006D704D"/>
    <w:rsid w:val="006E2C95"/>
    <w:rsid w:val="006E4E63"/>
    <w:rsid w:val="006E712F"/>
    <w:rsid w:val="006F3370"/>
    <w:rsid w:val="006F7390"/>
    <w:rsid w:val="006F7867"/>
    <w:rsid w:val="006F791F"/>
    <w:rsid w:val="00700C77"/>
    <w:rsid w:val="00701F73"/>
    <w:rsid w:val="00703EE4"/>
    <w:rsid w:val="00704311"/>
    <w:rsid w:val="007051D4"/>
    <w:rsid w:val="00705890"/>
    <w:rsid w:val="00706E06"/>
    <w:rsid w:val="0071344F"/>
    <w:rsid w:val="00714A0C"/>
    <w:rsid w:val="00714C2F"/>
    <w:rsid w:val="0071780F"/>
    <w:rsid w:val="00720543"/>
    <w:rsid w:val="00725060"/>
    <w:rsid w:val="007262AD"/>
    <w:rsid w:val="00726931"/>
    <w:rsid w:val="00730649"/>
    <w:rsid w:val="00731EBF"/>
    <w:rsid w:val="007349D4"/>
    <w:rsid w:val="00736201"/>
    <w:rsid w:val="00737DC3"/>
    <w:rsid w:val="0074121F"/>
    <w:rsid w:val="00747619"/>
    <w:rsid w:val="00752539"/>
    <w:rsid w:val="007552DE"/>
    <w:rsid w:val="00756B6B"/>
    <w:rsid w:val="00760FDA"/>
    <w:rsid w:val="007616F9"/>
    <w:rsid w:val="00761FCB"/>
    <w:rsid w:val="007639FD"/>
    <w:rsid w:val="00763FE7"/>
    <w:rsid w:val="0076683F"/>
    <w:rsid w:val="00770617"/>
    <w:rsid w:val="00772254"/>
    <w:rsid w:val="007764AA"/>
    <w:rsid w:val="007811DA"/>
    <w:rsid w:val="0078214E"/>
    <w:rsid w:val="007824CD"/>
    <w:rsid w:val="0078253F"/>
    <w:rsid w:val="0078344B"/>
    <w:rsid w:val="00784898"/>
    <w:rsid w:val="007854EB"/>
    <w:rsid w:val="00785D38"/>
    <w:rsid w:val="00790A15"/>
    <w:rsid w:val="00790A84"/>
    <w:rsid w:val="0079253F"/>
    <w:rsid w:val="00792B8B"/>
    <w:rsid w:val="00792E07"/>
    <w:rsid w:val="00793757"/>
    <w:rsid w:val="00794FC1"/>
    <w:rsid w:val="0079551B"/>
    <w:rsid w:val="007965C1"/>
    <w:rsid w:val="007A0246"/>
    <w:rsid w:val="007A3582"/>
    <w:rsid w:val="007B1877"/>
    <w:rsid w:val="007B3AEC"/>
    <w:rsid w:val="007B6946"/>
    <w:rsid w:val="007B7993"/>
    <w:rsid w:val="007C0283"/>
    <w:rsid w:val="007C1391"/>
    <w:rsid w:val="007C2258"/>
    <w:rsid w:val="007C6921"/>
    <w:rsid w:val="007D0CBD"/>
    <w:rsid w:val="007D0E3C"/>
    <w:rsid w:val="007D2BD8"/>
    <w:rsid w:val="007D312C"/>
    <w:rsid w:val="007D343F"/>
    <w:rsid w:val="007D69DA"/>
    <w:rsid w:val="007E3E7F"/>
    <w:rsid w:val="007E40D0"/>
    <w:rsid w:val="007E592A"/>
    <w:rsid w:val="007E687B"/>
    <w:rsid w:val="007E71E9"/>
    <w:rsid w:val="007F00E3"/>
    <w:rsid w:val="007F13E0"/>
    <w:rsid w:val="007F2344"/>
    <w:rsid w:val="007F3BC5"/>
    <w:rsid w:val="007F4F89"/>
    <w:rsid w:val="007F52FB"/>
    <w:rsid w:val="007F5E40"/>
    <w:rsid w:val="00801D1D"/>
    <w:rsid w:val="00802E30"/>
    <w:rsid w:val="008046E1"/>
    <w:rsid w:val="00804D5B"/>
    <w:rsid w:val="00806954"/>
    <w:rsid w:val="008109DF"/>
    <w:rsid w:val="0081117C"/>
    <w:rsid w:val="00813EA6"/>
    <w:rsid w:val="008141CF"/>
    <w:rsid w:val="0082344B"/>
    <w:rsid w:val="008251DC"/>
    <w:rsid w:val="00825361"/>
    <w:rsid w:val="0083105D"/>
    <w:rsid w:val="00831241"/>
    <w:rsid w:val="00831E70"/>
    <w:rsid w:val="008326D3"/>
    <w:rsid w:val="00835346"/>
    <w:rsid w:val="008410E6"/>
    <w:rsid w:val="00841489"/>
    <w:rsid w:val="00841F48"/>
    <w:rsid w:val="008429CE"/>
    <w:rsid w:val="0084328B"/>
    <w:rsid w:val="00844668"/>
    <w:rsid w:val="00850974"/>
    <w:rsid w:val="00851DCB"/>
    <w:rsid w:val="00851E37"/>
    <w:rsid w:val="00852F00"/>
    <w:rsid w:val="00854702"/>
    <w:rsid w:val="0085557C"/>
    <w:rsid w:val="00857876"/>
    <w:rsid w:val="0086070D"/>
    <w:rsid w:val="00860B72"/>
    <w:rsid w:val="008660DA"/>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3B4B"/>
    <w:rsid w:val="008A4572"/>
    <w:rsid w:val="008A63E7"/>
    <w:rsid w:val="008B463A"/>
    <w:rsid w:val="008B5AC8"/>
    <w:rsid w:val="008B5C7E"/>
    <w:rsid w:val="008B5F2F"/>
    <w:rsid w:val="008B6BA6"/>
    <w:rsid w:val="008B71C9"/>
    <w:rsid w:val="008C101A"/>
    <w:rsid w:val="008C73FB"/>
    <w:rsid w:val="008C7502"/>
    <w:rsid w:val="008D3137"/>
    <w:rsid w:val="008D56EF"/>
    <w:rsid w:val="008E1A5F"/>
    <w:rsid w:val="008E1BDB"/>
    <w:rsid w:val="008E508E"/>
    <w:rsid w:val="008E55F8"/>
    <w:rsid w:val="008F09E5"/>
    <w:rsid w:val="008F3EE3"/>
    <w:rsid w:val="008F6324"/>
    <w:rsid w:val="008F7C2D"/>
    <w:rsid w:val="00900207"/>
    <w:rsid w:val="00901114"/>
    <w:rsid w:val="00906BFB"/>
    <w:rsid w:val="00906EB9"/>
    <w:rsid w:val="00910617"/>
    <w:rsid w:val="00910C9C"/>
    <w:rsid w:val="00913AE0"/>
    <w:rsid w:val="0092205D"/>
    <w:rsid w:val="0092320C"/>
    <w:rsid w:val="00923FA9"/>
    <w:rsid w:val="009241EA"/>
    <w:rsid w:val="009245F4"/>
    <w:rsid w:val="00926F22"/>
    <w:rsid w:val="00927109"/>
    <w:rsid w:val="00931E43"/>
    <w:rsid w:val="0093348D"/>
    <w:rsid w:val="009356FC"/>
    <w:rsid w:val="00936C0C"/>
    <w:rsid w:val="00942C6A"/>
    <w:rsid w:val="009509CC"/>
    <w:rsid w:val="0095116D"/>
    <w:rsid w:val="00951A41"/>
    <w:rsid w:val="00957AFD"/>
    <w:rsid w:val="00962AAC"/>
    <w:rsid w:val="00964CDA"/>
    <w:rsid w:val="00964DF6"/>
    <w:rsid w:val="00965784"/>
    <w:rsid w:val="00965FF4"/>
    <w:rsid w:val="0096724D"/>
    <w:rsid w:val="00967976"/>
    <w:rsid w:val="0097040B"/>
    <w:rsid w:val="0097171C"/>
    <w:rsid w:val="0097529D"/>
    <w:rsid w:val="009752B6"/>
    <w:rsid w:val="00976B1B"/>
    <w:rsid w:val="00977522"/>
    <w:rsid w:val="00982419"/>
    <w:rsid w:val="00984B70"/>
    <w:rsid w:val="00984D9F"/>
    <w:rsid w:val="00985631"/>
    <w:rsid w:val="00985897"/>
    <w:rsid w:val="00986CCA"/>
    <w:rsid w:val="009931B2"/>
    <w:rsid w:val="009A193E"/>
    <w:rsid w:val="009A1A0D"/>
    <w:rsid w:val="009A446A"/>
    <w:rsid w:val="009A64EE"/>
    <w:rsid w:val="009A7DF6"/>
    <w:rsid w:val="009B3F07"/>
    <w:rsid w:val="009B5F27"/>
    <w:rsid w:val="009C46D9"/>
    <w:rsid w:val="009D0880"/>
    <w:rsid w:val="009D254E"/>
    <w:rsid w:val="009D2DA8"/>
    <w:rsid w:val="009D4FAD"/>
    <w:rsid w:val="009D6852"/>
    <w:rsid w:val="009E0972"/>
    <w:rsid w:val="009E279A"/>
    <w:rsid w:val="009E28C4"/>
    <w:rsid w:val="009E480A"/>
    <w:rsid w:val="009E5833"/>
    <w:rsid w:val="009F1587"/>
    <w:rsid w:val="009F1E44"/>
    <w:rsid w:val="009F3CBD"/>
    <w:rsid w:val="009F6E41"/>
    <w:rsid w:val="00A02D6F"/>
    <w:rsid w:val="00A04765"/>
    <w:rsid w:val="00A0574C"/>
    <w:rsid w:val="00A06869"/>
    <w:rsid w:val="00A07134"/>
    <w:rsid w:val="00A07A94"/>
    <w:rsid w:val="00A126DF"/>
    <w:rsid w:val="00A12E93"/>
    <w:rsid w:val="00A1500B"/>
    <w:rsid w:val="00A1565F"/>
    <w:rsid w:val="00A15F83"/>
    <w:rsid w:val="00A16F30"/>
    <w:rsid w:val="00A17E11"/>
    <w:rsid w:val="00A206B2"/>
    <w:rsid w:val="00A20A35"/>
    <w:rsid w:val="00A226C0"/>
    <w:rsid w:val="00A250D5"/>
    <w:rsid w:val="00A30E24"/>
    <w:rsid w:val="00A316F5"/>
    <w:rsid w:val="00A31D3C"/>
    <w:rsid w:val="00A34053"/>
    <w:rsid w:val="00A35BAA"/>
    <w:rsid w:val="00A368DA"/>
    <w:rsid w:val="00A374F8"/>
    <w:rsid w:val="00A40A21"/>
    <w:rsid w:val="00A4283C"/>
    <w:rsid w:val="00A44D2A"/>
    <w:rsid w:val="00A464B5"/>
    <w:rsid w:val="00A46D6A"/>
    <w:rsid w:val="00A50334"/>
    <w:rsid w:val="00A51393"/>
    <w:rsid w:val="00A52C09"/>
    <w:rsid w:val="00A55E2D"/>
    <w:rsid w:val="00A578EB"/>
    <w:rsid w:val="00A57B64"/>
    <w:rsid w:val="00A57DC2"/>
    <w:rsid w:val="00A57FDB"/>
    <w:rsid w:val="00A6010F"/>
    <w:rsid w:val="00A646E0"/>
    <w:rsid w:val="00A73FEC"/>
    <w:rsid w:val="00A740BA"/>
    <w:rsid w:val="00A76CF6"/>
    <w:rsid w:val="00A82979"/>
    <w:rsid w:val="00A85124"/>
    <w:rsid w:val="00A92DFD"/>
    <w:rsid w:val="00A93AAA"/>
    <w:rsid w:val="00A95007"/>
    <w:rsid w:val="00A956F8"/>
    <w:rsid w:val="00AA331F"/>
    <w:rsid w:val="00AA60D1"/>
    <w:rsid w:val="00AA7E90"/>
    <w:rsid w:val="00AB274F"/>
    <w:rsid w:val="00AC6800"/>
    <w:rsid w:val="00AD7502"/>
    <w:rsid w:val="00AE0C98"/>
    <w:rsid w:val="00AE1591"/>
    <w:rsid w:val="00AE3EF1"/>
    <w:rsid w:val="00AE4BA4"/>
    <w:rsid w:val="00AE652A"/>
    <w:rsid w:val="00AF01FA"/>
    <w:rsid w:val="00AF554C"/>
    <w:rsid w:val="00AF6859"/>
    <w:rsid w:val="00AF7C9B"/>
    <w:rsid w:val="00B01F61"/>
    <w:rsid w:val="00B03CEE"/>
    <w:rsid w:val="00B07C72"/>
    <w:rsid w:val="00B100F6"/>
    <w:rsid w:val="00B12274"/>
    <w:rsid w:val="00B147C0"/>
    <w:rsid w:val="00B21B02"/>
    <w:rsid w:val="00B23568"/>
    <w:rsid w:val="00B23F9D"/>
    <w:rsid w:val="00B243F6"/>
    <w:rsid w:val="00B24F65"/>
    <w:rsid w:val="00B26BED"/>
    <w:rsid w:val="00B278FE"/>
    <w:rsid w:val="00B31CF6"/>
    <w:rsid w:val="00B3341E"/>
    <w:rsid w:val="00B34F11"/>
    <w:rsid w:val="00B40285"/>
    <w:rsid w:val="00B417B5"/>
    <w:rsid w:val="00B440E2"/>
    <w:rsid w:val="00B52818"/>
    <w:rsid w:val="00B55A26"/>
    <w:rsid w:val="00B55F55"/>
    <w:rsid w:val="00B56C1C"/>
    <w:rsid w:val="00B6306A"/>
    <w:rsid w:val="00B6511C"/>
    <w:rsid w:val="00B65C6E"/>
    <w:rsid w:val="00B671B7"/>
    <w:rsid w:val="00B67585"/>
    <w:rsid w:val="00B74AB8"/>
    <w:rsid w:val="00B75BDC"/>
    <w:rsid w:val="00B75D6C"/>
    <w:rsid w:val="00B77547"/>
    <w:rsid w:val="00B77C2E"/>
    <w:rsid w:val="00B829DE"/>
    <w:rsid w:val="00B82B64"/>
    <w:rsid w:val="00B84D37"/>
    <w:rsid w:val="00B855D2"/>
    <w:rsid w:val="00B93D8E"/>
    <w:rsid w:val="00B97CD0"/>
    <w:rsid w:val="00BA2203"/>
    <w:rsid w:val="00BA4316"/>
    <w:rsid w:val="00BA6081"/>
    <w:rsid w:val="00BB14F8"/>
    <w:rsid w:val="00BB1999"/>
    <w:rsid w:val="00BB48E7"/>
    <w:rsid w:val="00BB70AA"/>
    <w:rsid w:val="00BB73F6"/>
    <w:rsid w:val="00BC23A1"/>
    <w:rsid w:val="00BC6192"/>
    <w:rsid w:val="00BD0029"/>
    <w:rsid w:val="00BD4BC2"/>
    <w:rsid w:val="00BD561F"/>
    <w:rsid w:val="00BE0BA1"/>
    <w:rsid w:val="00BE324C"/>
    <w:rsid w:val="00BE5B81"/>
    <w:rsid w:val="00BE6B90"/>
    <w:rsid w:val="00BF33E1"/>
    <w:rsid w:val="00BF371E"/>
    <w:rsid w:val="00C00E7C"/>
    <w:rsid w:val="00C03316"/>
    <w:rsid w:val="00C04452"/>
    <w:rsid w:val="00C07F72"/>
    <w:rsid w:val="00C11214"/>
    <w:rsid w:val="00C1211C"/>
    <w:rsid w:val="00C13634"/>
    <w:rsid w:val="00C17250"/>
    <w:rsid w:val="00C2376D"/>
    <w:rsid w:val="00C2458F"/>
    <w:rsid w:val="00C32C8F"/>
    <w:rsid w:val="00C35760"/>
    <w:rsid w:val="00C357C4"/>
    <w:rsid w:val="00C3779D"/>
    <w:rsid w:val="00C42EA4"/>
    <w:rsid w:val="00C43D45"/>
    <w:rsid w:val="00C476D3"/>
    <w:rsid w:val="00C47A3B"/>
    <w:rsid w:val="00C51451"/>
    <w:rsid w:val="00C517D1"/>
    <w:rsid w:val="00C56AAB"/>
    <w:rsid w:val="00C56B93"/>
    <w:rsid w:val="00C6062B"/>
    <w:rsid w:val="00C61B04"/>
    <w:rsid w:val="00C63111"/>
    <w:rsid w:val="00C64B24"/>
    <w:rsid w:val="00C67E04"/>
    <w:rsid w:val="00C67FBF"/>
    <w:rsid w:val="00C7507E"/>
    <w:rsid w:val="00C83712"/>
    <w:rsid w:val="00C8382F"/>
    <w:rsid w:val="00C87C23"/>
    <w:rsid w:val="00C92553"/>
    <w:rsid w:val="00C9264C"/>
    <w:rsid w:val="00C93829"/>
    <w:rsid w:val="00C94AE9"/>
    <w:rsid w:val="00C97966"/>
    <w:rsid w:val="00CA4457"/>
    <w:rsid w:val="00CA69E1"/>
    <w:rsid w:val="00CB5001"/>
    <w:rsid w:val="00CC08DE"/>
    <w:rsid w:val="00CC0CD9"/>
    <w:rsid w:val="00CC22B3"/>
    <w:rsid w:val="00CC3868"/>
    <w:rsid w:val="00CC6227"/>
    <w:rsid w:val="00CC6B84"/>
    <w:rsid w:val="00CD1558"/>
    <w:rsid w:val="00CD1C15"/>
    <w:rsid w:val="00CD29FA"/>
    <w:rsid w:val="00CD4047"/>
    <w:rsid w:val="00CD4FF5"/>
    <w:rsid w:val="00CD6D68"/>
    <w:rsid w:val="00CD7D72"/>
    <w:rsid w:val="00CE13C2"/>
    <w:rsid w:val="00CE28DB"/>
    <w:rsid w:val="00CE72CF"/>
    <w:rsid w:val="00CE79A1"/>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322F8"/>
    <w:rsid w:val="00D46706"/>
    <w:rsid w:val="00D47524"/>
    <w:rsid w:val="00D55B71"/>
    <w:rsid w:val="00D56072"/>
    <w:rsid w:val="00D56E20"/>
    <w:rsid w:val="00D60A84"/>
    <w:rsid w:val="00D6140D"/>
    <w:rsid w:val="00D61F09"/>
    <w:rsid w:val="00D62A7A"/>
    <w:rsid w:val="00D672E2"/>
    <w:rsid w:val="00D67E85"/>
    <w:rsid w:val="00D71100"/>
    <w:rsid w:val="00D72C51"/>
    <w:rsid w:val="00D76C28"/>
    <w:rsid w:val="00D77EFB"/>
    <w:rsid w:val="00D813B1"/>
    <w:rsid w:val="00D8176C"/>
    <w:rsid w:val="00D82784"/>
    <w:rsid w:val="00D84B29"/>
    <w:rsid w:val="00D85413"/>
    <w:rsid w:val="00D94C1B"/>
    <w:rsid w:val="00D965FD"/>
    <w:rsid w:val="00D96911"/>
    <w:rsid w:val="00DA153F"/>
    <w:rsid w:val="00DB1B5D"/>
    <w:rsid w:val="00DB2B45"/>
    <w:rsid w:val="00DB38CF"/>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5485"/>
    <w:rsid w:val="00DF02B8"/>
    <w:rsid w:val="00DF06AF"/>
    <w:rsid w:val="00DF215D"/>
    <w:rsid w:val="00DF4943"/>
    <w:rsid w:val="00DF5740"/>
    <w:rsid w:val="00DF6CA0"/>
    <w:rsid w:val="00DF7F79"/>
    <w:rsid w:val="00E04330"/>
    <w:rsid w:val="00E04B95"/>
    <w:rsid w:val="00E07188"/>
    <w:rsid w:val="00E1072B"/>
    <w:rsid w:val="00E12689"/>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599A"/>
    <w:rsid w:val="00E659BC"/>
    <w:rsid w:val="00E660DF"/>
    <w:rsid w:val="00E700F9"/>
    <w:rsid w:val="00E71BE0"/>
    <w:rsid w:val="00E8036E"/>
    <w:rsid w:val="00E83B9F"/>
    <w:rsid w:val="00E87CB6"/>
    <w:rsid w:val="00E9215F"/>
    <w:rsid w:val="00E927C9"/>
    <w:rsid w:val="00E96E1B"/>
    <w:rsid w:val="00E97411"/>
    <w:rsid w:val="00EA006F"/>
    <w:rsid w:val="00EA05E3"/>
    <w:rsid w:val="00EA1222"/>
    <w:rsid w:val="00EA1940"/>
    <w:rsid w:val="00EA322A"/>
    <w:rsid w:val="00EA47B4"/>
    <w:rsid w:val="00EA5640"/>
    <w:rsid w:val="00EB0314"/>
    <w:rsid w:val="00EB0501"/>
    <w:rsid w:val="00EB0A71"/>
    <w:rsid w:val="00EB2C7E"/>
    <w:rsid w:val="00EC3BF9"/>
    <w:rsid w:val="00EC64CC"/>
    <w:rsid w:val="00EC6E9F"/>
    <w:rsid w:val="00ED3088"/>
    <w:rsid w:val="00ED45F8"/>
    <w:rsid w:val="00ED5A35"/>
    <w:rsid w:val="00ED5AC4"/>
    <w:rsid w:val="00ED7594"/>
    <w:rsid w:val="00ED79AD"/>
    <w:rsid w:val="00EE31D3"/>
    <w:rsid w:val="00EE4F97"/>
    <w:rsid w:val="00EE5E03"/>
    <w:rsid w:val="00EE70DF"/>
    <w:rsid w:val="00EE7C24"/>
    <w:rsid w:val="00EF1CB7"/>
    <w:rsid w:val="00EF655E"/>
    <w:rsid w:val="00F050FE"/>
    <w:rsid w:val="00F0737C"/>
    <w:rsid w:val="00F110CA"/>
    <w:rsid w:val="00F11F12"/>
    <w:rsid w:val="00F13EA2"/>
    <w:rsid w:val="00F146B1"/>
    <w:rsid w:val="00F15A84"/>
    <w:rsid w:val="00F15E0C"/>
    <w:rsid w:val="00F237CF"/>
    <w:rsid w:val="00F249C3"/>
    <w:rsid w:val="00F24C66"/>
    <w:rsid w:val="00F2665E"/>
    <w:rsid w:val="00F272A3"/>
    <w:rsid w:val="00F322C0"/>
    <w:rsid w:val="00F325FD"/>
    <w:rsid w:val="00F32A8A"/>
    <w:rsid w:val="00F33212"/>
    <w:rsid w:val="00F35531"/>
    <w:rsid w:val="00F366D1"/>
    <w:rsid w:val="00F3728D"/>
    <w:rsid w:val="00F4035C"/>
    <w:rsid w:val="00F40C88"/>
    <w:rsid w:val="00F43E88"/>
    <w:rsid w:val="00F445B8"/>
    <w:rsid w:val="00F504DA"/>
    <w:rsid w:val="00F50853"/>
    <w:rsid w:val="00F561EC"/>
    <w:rsid w:val="00F57BFA"/>
    <w:rsid w:val="00F61644"/>
    <w:rsid w:val="00F617F3"/>
    <w:rsid w:val="00F63109"/>
    <w:rsid w:val="00F664E0"/>
    <w:rsid w:val="00F6718A"/>
    <w:rsid w:val="00F70201"/>
    <w:rsid w:val="00F710E8"/>
    <w:rsid w:val="00F7721F"/>
    <w:rsid w:val="00F7773B"/>
    <w:rsid w:val="00F834D8"/>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C618A"/>
    <w:rsid w:val="00FD181E"/>
    <w:rsid w:val="00FD65B5"/>
    <w:rsid w:val="00FE0DB7"/>
    <w:rsid w:val="00FE7DB0"/>
    <w:rsid w:val="00FF224B"/>
    <w:rsid w:val="00FF4D04"/>
    <w:rsid w:val="00FF4DAD"/>
    <w:rsid w:val="00FF56EE"/>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56DA1"/>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3GPPNormalText"/>
    <w:link w:val="Heading2Char"/>
    <w:autoRedefine/>
    <w:uiPriority w:val="9"/>
    <w:qFormat/>
    <w:rsid w:val="00DF215D"/>
    <w:pPr>
      <w:keepNext/>
      <w:spacing w:before="120"/>
      <w:jc w:val="left"/>
      <w:outlineLvl w:val="1"/>
    </w:pPr>
    <w:rPr>
      <w:b/>
      <w:bCs/>
      <w:sz w:val="28"/>
      <w:szCs w:val="28"/>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DF215D"/>
    <w:rPr>
      <w:rFonts w:ascii="Times New Roman" w:eastAsia="MS Mincho" w:hAnsi="Times New Roman" w:cs="Times New Roman"/>
      <w:b/>
      <w:bCs/>
      <w:sz w:val="28"/>
      <w:szCs w:val="28"/>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B1Char1">
    <w:name w:val="B1 Char1"/>
    <w:qFormat/>
    <w:rsid w:val="00DF215D"/>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292537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62697647-B6A2-42DF-B6C9-2AC3110C1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schemas.microsoft.com/office/2006/documentManagement/types"/>
    <ds:schemaRef ds:uri="http://purl.org/dc/elements/1.1/"/>
    <ds:schemaRef ds:uri="48d02fb8-8851-4923-9c9e-0de447319aa5"/>
    <ds:schemaRef ds:uri="8c5f69da-4e09-4fb7-9d75-fde273378258"/>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B0C7B88-5C17-4217-8997-5678F9AD7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1555</Words>
  <Characters>8218</Characters>
  <Application>Microsoft Office Word</Application>
  <DocSecurity>0</DocSecurity>
  <Lines>146</Lines>
  <Paragraphs>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81</cp:revision>
  <dcterms:created xsi:type="dcterms:W3CDTF">2020-05-15T22:09:00Z</dcterms:created>
  <dcterms:modified xsi:type="dcterms:W3CDTF">2020-05-16T06:35:00Z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2020-05-16 06:35:33Z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